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93A1C" w14:textId="77777777" w:rsidR="00ED25AF" w:rsidRPr="0038351F" w:rsidRDefault="00ED25AF" w:rsidP="007F269F">
      <w:pPr>
        <w:rPr>
          <w:rFonts w:cs="Times New Roman"/>
          <w:b/>
          <w:sz w:val="24"/>
          <w:szCs w:val="24"/>
        </w:rPr>
      </w:pPr>
    </w:p>
    <w:p w14:paraId="771C14F4" w14:textId="11B1DDAC" w:rsidR="007F269F" w:rsidRPr="0038351F" w:rsidRDefault="008F4B9A" w:rsidP="007F269F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LA TESTA DI BAEBIA BASSILLA</w:t>
      </w:r>
      <w:r w:rsidR="00CC4D49" w:rsidRPr="0038351F">
        <w:rPr>
          <w:rFonts w:cs="Times New Roman"/>
          <w:b/>
          <w:sz w:val="24"/>
          <w:szCs w:val="24"/>
        </w:rPr>
        <w:t xml:space="preserve"> D</w:t>
      </w:r>
      <w:r>
        <w:rPr>
          <w:rFonts w:cs="Times New Roman"/>
          <w:b/>
          <w:sz w:val="24"/>
          <w:szCs w:val="24"/>
        </w:rPr>
        <w:t>A</w:t>
      </w:r>
      <w:r w:rsidR="00CC4D49" w:rsidRPr="0038351F">
        <w:rPr>
          <w:rFonts w:cs="Times New Roman"/>
          <w:b/>
          <w:sz w:val="24"/>
          <w:szCs w:val="24"/>
        </w:rPr>
        <w:t xml:space="preserve"> VELEIA</w:t>
      </w:r>
    </w:p>
    <w:p w14:paraId="44AE8323" w14:textId="5B4BAE90" w:rsidR="00CC4D49" w:rsidRPr="0038351F" w:rsidRDefault="0038351F" w:rsidP="00D72D6A">
      <w:pPr>
        <w:spacing w:after="0" w:line="264" w:lineRule="auto"/>
        <w:rPr>
          <w:rFonts w:cs="Times New Roman"/>
          <w:sz w:val="24"/>
          <w:szCs w:val="24"/>
        </w:rPr>
      </w:pPr>
      <w:r w:rsidRPr="0038351F">
        <w:rPr>
          <w:rFonts w:cs="Times New Roman"/>
          <w:sz w:val="24"/>
          <w:szCs w:val="24"/>
        </w:rPr>
        <w:t>Nel</w:t>
      </w:r>
      <w:r w:rsidR="009D5A09">
        <w:rPr>
          <w:rFonts w:cs="Times New Roman"/>
          <w:sz w:val="24"/>
          <w:szCs w:val="24"/>
        </w:rPr>
        <w:t xml:space="preserve"> 1760</w:t>
      </w:r>
      <w:r w:rsidRPr="0038351F">
        <w:rPr>
          <w:rFonts w:cs="Times New Roman"/>
          <w:sz w:val="24"/>
          <w:szCs w:val="24"/>
        </w:rPr>
        <w:t xml:space="preserve">, </w:t>
      </w:r>
      <w:r w:rsidR="009D5A09">
        <w:rPr>
          <w:rFonts w:cs="Times New Roman"/>
          <w:sz w:val="24"/>
          <w:szCs w:val="24"/>
        </w:rPr>
        <w:t xml:space="preserve">per volere di </w:t>
      </w:r>
      <w:r w:rsidRPr="0038351F">
        <w:rPr>
          <w:rFonts w:cs="Times New Roman"/>
          <w:sz w:val="24"/>
          <w:szCs w:val="24"/>
        </w:rPr>
        <w:t>don Filippo di Borbone</w:t>
      </w:r>
      <w:r w:rsidR="009D5A09">
        <w:rPr>
          <w:rFonts w:cs="Times New Roman"/>
          <w:sz w:val="24"/>
          <w:szCs w:val="24"/>
        </w:rPr>
        <w:t xml:space="preserve">, vengono aperti i primi scavi sistematici </w:t>
      </w:r>
      <w:r w:rsidRPr="0038351F">
        <w:rPr>
          <w:rFonts w:cs="Times New Roman"/>
          <w:sz w:val="24"/>
          <w:szCs w:val="24"/>
        </w:rPr>
        <w:t xml:space="preserve">nell’area </w:t>
      </w:r>
      <w:r w:rsidR="009D5A09">
        <w:rPr>
          <w:rFonts w:cs="Times New Roman"/>
          <w:sz w:val="24"/>
          <w:szCs w:val="24"/>
        </w:rPr>
        <w:t>corrispondente</w:t>
      </w:r>
      <w:r w:rsidR="00B5675D">
        <w:rPr>
          <w:rFonts w:cs="Times New Roman"/>
          <w:sz w:val="24"/>
          <w:szCs w:val="24"/>
        </w:rPr>
        <w:t xml:space="preserve"> (come suggerito dal rinvenimento della grande tavola in bronzo iscritta)</w:t>
      </w:r>
      <w:r w:rsidR="009D5A09">
        <w:rPr>
          <w:rFonts w:cs="Times New Roman"/>
          <w:sz w:val="24"/>
          <w:szCs w:val="24"/>
        </w:rPr>
        <w:t xml:space="preserve"> all’antica cittadina romana di Veleia</w:t>
      </w:r>
      <w:r w:rsidR="00B5675D">
        <w:rPr>
          <w:rFonts w:cs="Times New Roman"/>
          <w:sz w:val="24"/>
          <w:szCs w:val="24"/>
        </w:rPr>
        <w:t>.</w:t>
      </w:r>
    </w:p>
    <w:p w14:paraId="5DC865F6" w14:textId="18F5FD59" w:rsidR="00B5675D" w:rsidRDefault="007520D9" w:rsidP="00D72D6A">
      <w:pPr>
        <w:spacing w:after="0" w:line="264" w:lineRule="auto"/>
        <w:rPr>
          <w:rFonts w:cs="Times New Roman"/>
          <w:sz w:val="24"/>
          <w:szCs w:val="24"/>
        </w:rPr>
      </w:pPr>
      <w:r w:rsidRPr="0038351F">
        <w:rPr>
          <w:rFonts w:cs="Times New Roman"/>
          <w:sz w:val="24"/>
          <w:szCs w:val="24"/>
        </w:rPr>
        <w:t>I diari di scavo raccontano che quest</w:t>
      </w:r>
      <w:r>
        <w:rPr>
          <w:rFonts w:cs="Times New Roman"/>
          <w:sz w:val="24"/>
          <w:szCs w:val="24"/>
        </w:rPr>
        <w:t>a notevole testa in bronzo</w:t>
      </w:r>
      <w:r w:rsidRPr="0038351F">
        <w:rPr>
          <w:rFonts w:cs="Times New Roman"/>
          <w:sz w:val="24"/>
          <w:szCs w:val="24"/>
        </w:rPr>
        <w:t xml:space="preserve"> viene ritrovata il 28 aprile 1760, vicino alla scala dell’ingresso occidentale della basilica della città, poco distante d</w:t>
      </w:r>
      <w:r w:rsidR="009D5A09">
        <w:rPr>
          <w:rFonts w:cs="Times New Roman"/>
          <w:sz w:val="24"/>
          <w:szCs w:val="24"/>
        </w:rPr>
        <w:t xml:space="preserve">al luogo di rinvenimento della </w:t>
      </w:r>
      <w:r w:rsidR="008F4B9A">
        <w:rPr>
          <w:rFonts w:cs="Times New Roman"/>
          <w:sz w:val="24"/>
          <w:szCs w:val="24"/>
        </w:rPr>
        <w:t>famos</w:t>
      </w:r>
      <w:r w:rsidR="009D5A09">
        <w:rPr>
          <w:rFonts w:cs="Times New Roman"/>
          <w:sz w:val="24"/>
          <w:szCs w:val="24"/>
        </w:rPr>
        <w:t>a</w:t>
      </w:r>
      <w:r w:rsidRPr="0038351F">
        <w:rPr>
          <w:rFonts w:cs="Times New Roman"/>
          <w:sz w:val="24"/>
          <w:szCs w:val="24"/>
        </w:rPr>
        <w:t xml:space="preserve"> </w:t>
      </w:r>
      <w:r w:rsidRPr="0038351F">
        <w:rPr>
          <w:rFonts w:cs="Times New Roman"/>
          <w:i/>
          <w:sz w:val="24"/>
          <w:szCs w:val="24"/>
        </w:rPr>
        <w:t>Tabula Alimentaria</w:t>
      </w:r>
      <w:r w:rsidR="009D5A09">
        <w:rPr>
          <w:rFonts w:cs="Times New Roman"/>
          <w:sz w:val="24"/>
          <w:szCs w:val="24"/>
        </w:rPr>
        <w:t>.</w:t>
      </w:r>
      <w:r w:rsidRPr="0038351F">
        <w:rPr>
          <w:rFonts w:cs="Times New Roman"/>
          <w:sz w:val="24"/>
          <w:szCs w:val="24"/>
        </w:rPr>
        <w:t xml:space="preserve"> </w:t>
      </w:r>
      <w:r w:rsidR="009D5A09" w:rsidRPr="0038351F">
        <w:rPr>
          <w:rFonts w:cs="Times New Roman"/>
          <w:sz w:val="24"/>
          <w:szCs w:val="24"/>
        </w:rPr>
        <w:t>R</w:t>
      </w:r>
      <w:r w:rsidRPr="0038351F">
        <w:rPr>
          <w:rFonts w:cs="Times New Roman"/>
          <w:sz w:val="24"/>
          <w:szCs w:val="24"/>
        </w:rPr>
        <w:t>affigura una giovane donna con testa</w:t>
      </w:r>
      <w:r>
        <w:rPr>
          <w:rFonts w:cs="Times New Roman"/>
          <w:sz w:val="24"/>
          <w:szCs w:val="24"/>
        </w:rPr>
        <w:t xml:space="preserve"> lievemente inclinata a destra e</w:t>
      </w:r>
      <w:r w:rsidRPr="0038351F">
        <w:rPr>
          <w:rFonts w:cs="Times New Roman"/>
          <w:sz w:val="24"/>
          <w:szCs w:val="24"/>
        </w:rPr>
        <w:t xml:space="preserve"> i tratti del viso molto accurati; la capigliatura è corta, pettinata all’indietro, e in origine doveva essere completata da un alto ciuffo rigonfio sulla fronte, come era di moda </w:t>
      </w:r>
      <w:r w:rsidR="00B5675D">
        <w:rPr>
          <w:rFonts w:cs="Times New Roman"/>
          <w:sz w:val="24"/>
          <w:szCs w:val="24"/>
        </w:rPr>
        <w:t xml:space="preserve">acconciare i capelli </w:t>
      </w:r>
      <w:r w:rsidRPr="0038351F">
        <w:rPr>
          <w:rFonts w:cs="Times New Roman"/>
          <w:sz w:val="24"/>
          <w:szCs w:val="24"/>
        </w:rPr>
        <w:t>alla fine del I sec. a.C.</w:t>
      </w:r>
      <w:r w:rsidR="00B5675D">
        <w:rPr>
          <w:rFonts w:cs="Times New Roman"/>
          <w:sz w:val="24"/>
          <w:szCs w:val="24"/>
        </w:rPr>
        <w:t xml:space="preserve">  </w:t>
      </w:r>
      <w:r w:rsidR="00B5675D" w:rsidRPr="0038351F">
        <w:rPr>
          <w:rFonts w:cs="Times New Roman"/>
          <w:sz w:val="24"/>
          <w:szCs w:val="24"/>
        </w:rPr>
        <w:t>Il particolare dei capelli corti, non usuale per le donne romane, induce a ritenere che la giovane potesse aver rivestito un ruolo religioso</w:t>
      </w:r>
      <w:r w:rsidR="00B5675D">
        <w:rPr>
          <w:rFonts w:cs="Times New Roman"/>
          <w:sz w:val="24"/>
          <w:szCs w:val="24"/>
        </w:rPr>
        <w:t>.</w:t>
      </w:r>
    </w:p>
    <w:p w14:paraId="63736F5C" w14:textId="1E3CDDC1" w:rsidR="00B5675D" w:rsidRPr="0038351F" w:rsidRDefault="00B5675D" w:rsidP="00D72D6A">
      <w:pPr>
        <w:spacing w:after="0" w:line="264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Dedicare un ritratto in bronzo a</w:t>
      </w:r>
      <w:r w:rsidRPr="0038351F">
        <w:rPr>
          <w:rFonts w:cs="Times New Roman"/>
          <w:sz w:val="24"/>
          <w:szCs w:val="24"/>
        </w:rPr>
        <w:t xml:space="preserve"> una </w:t>
      </w:r>
      <w:r>
        <w:rPr>
          <w:rFonts w:cs="Times New Roman"/>
          <w:sz w:val="24"/>
          <w:szCs w:val="24"/>
        </w:rPr>
        <w:t xml:space="preserve">giovane donna è prassi </w:t>
      </w:r>
      <w:r w:rsidR="00C62388">
        <w:rPr>
          <w:rFonts w:cs="Times New Roman"/>
          <w:sz w:val="24"/>
          <w:szCs w:val="24"/>
        </w:rPr>
        <w:t>decisa</w:t>
      </w:r>
      <w:r>
        <w:rPr>
          <w:rFonts w:cs="Times New Roman"/>
          <w:sz w:val="24"/>
          <w:szCs w:val="24"/>
        </w:rPr>
        <w:t xml:space="preserve">mente </w:t>
      </w:r>
      <w:r w:rsidR="008F4B9A">
        <w:rPr>
          <w:rFonts w:cs="Times New Roman"/>
          <w:sz w:val="24"/>
          <w:szCs w:val="24"/>
        </w:rPr>
        <w:t>rara</w:t>
      </w:r>
      <w:r>
        <w:rPr>
          <w:rFonts w:cs="Times New Roman"/>
          <w:sz w:val="24"/>
          <w:szCs w:val="24"/>
        </w:rPr>
        <w:t xml:space="preserve"> nel mondo romano; si è dunque ipotizzato </w:t>
      </w:r>
      <w:r w:rsidRPr="0038351F">
        <w:rPr>
          <w:rFonts w:cs="Times New Roman"/>
          <w:sz w:val="24"/>
          <w:szCs w:val="24"/>
        </w:rPr>
        <w:t>possa trattar</w:t>
      </w:r>
      <w:r>
        <w:rPr>
          <w:rFonts w:cs="Times New Roman"/>
          <w:sz w:val="24"/>
          <w:szCs w:val="24"/>
        </w:rPr>
        <w:t>si</w:t>
      </w:r>
      <w:r w:rsidRPr="0038351F">
        <w:rPr>
          <w:rFonts w:cs="Times New Roman"/>
          <w:sz w:val="24"/>
          <w:szCs w:val="24"/>
        </w:rPr>
        <w:t xml:space="preserve"> di </w:t>
      </w:r>
      <w:proofErr w:type="spellStart"/>
      <w:r w:rsidRPr="0038351F">
        <w:rPr>
          <w:rFonts w:cs="Times New Roman"/>
          <w:i/>
          <w:sz w:val="24"/>
          <w:szCs w:val="24"/>
        </w:rPr>
        <w:t>Baebia</w:t>
      </w:r>
      <w:proofErr w:type="spellEnd"/>
      <w:r w:rsidRPr="0038351F">
        <w:rPr>
          <w:rFonts w:cs="Times New Roman"/>
          <w:i/>
          <w:sz w:val="24"/>
          <w:szCs w:val="24"/>
        </w:rPr>
        <w:t xml:space="preserve"> </w:t>
      </w:r>
      <w:proofErr w:type="spellStart"/>
      <w:r w:rsidRPr="0038351F">
        <w:rPr>
          <w:rFonts w:cs="Times New Roman"/>
          <w:i/>
          <w:sz w:val="24"/>
          <w:szCs w:val="24"/>
        </w:rPr>
        <w:t>Bassilla</w:t>
      </w:r>
      <w:proofErr w:type="spellEnd"/>
      <w:r w:rsidRPr="0038351F">
        <w:rPr>
          <w:rFonts w:cs="Times New Roman"/>
          <w:sz w:val="24"/>
          <w:szCs w:val="24"/>
        </w:rPr>
        <w:t xml:space="preserve">, ricordata su un'iscrizione </w:t>
      </w:r>
      <w:proofErr w:type="spellStart"/>
      <w:r w:rsidRPr="0038351F">
        <w:rPr>
          <w:rFonts w:cs="Times New Roman"/>
          <w:sz w:val="24"/>
          <w:szCs w:val="24"/>
        </w:rPr>
        <w:t>veleiate</w:t>
      </w:r>
      <w:proofErr w:type="spellEnd"/>
      <w:r w:rsidRPr="0038351F">
        <w:rPr>
          <w:rFonts w:cs="Times New Roman"/>
          <w:sz w:val="24"/>
          <w:szCs w:val="24"/>
        </w:rPr>
        <w:t xml:space="preserve"> in marmo per aver </w:t>
      </w:r>
      <w:r w:rsidR="00D72D6A">
        <w:rPr>
          <w:rFonts w:cs="Times New Roman"/>
          <w:sz w:val="24"/>
          <w:szCs w:val="24"/>
        </w:rPr>
        <w:t>donato (ossia finanziato l’opera)</w:t>
      </w:r>
      <w:r>
        <w:rPr>
          <w:rFonts w:cs="Times New Roman"/>
          <w:sz w:val="24"/>
          <w:szCs w:val="24"/>
        </w:rPr>
        <w:t xml:space="preserve"> un </w:t>
      </w:r>
      <w:r w:rsidR="00D72D6A">
        <w:rPr>
          <w:rFonts w:cs="Times New Roman"/>
          <w:sz w:val="24"/>
          <w:szCs w:val="24"/>
        </w:rPr>
        <w:t>lungo</w:t>
      </w:r>
      <w:r>
        <w:rPr>
          <w:rFonts w:cs="Times New Roman"/>
          <w:sz w:val="24"/>
          <w:szCs w:val="24"/>
        </w:rPr>
        <w:t xml:space="preserve"> </w:t>
      </w:r>
      <w:r w:rsidRPr="0038351F">
        <w:rPr>
          <w:rFonts w:cs="Times New Roman"/>
          <w:sz w:val="24"/>
          <w:szCs w:val="24"/>
        </w:rPr>
        <w:t xml:space="preserve">portico </w:t>
      </w:r>
      <w:r w:rsidR="00D72D6A">
        <w:rPr>
          <w:rFonts w:cs="Times New Roman"/>
          <w:sz w:val="24"/>
          <w:szCs w:val="24"/>
        </w:rPr>
        <w:t>sul foro della città.</w:t>
      </w:r>
    </w:p>
    <w:p w14:paraId="158A0F16" w14:textId="5631AFED" w:rsidR="007F269F" w:rsidRDefault="00B5675D" w:rsidP="00D72D6A">
      <w:pPr>
        <w:spacing w:after="0" w:line="264" w:lineRule="auto"/>
        <w:jc w:val="both"/>
        <w:rPr>
          <w:rFonts w:cs="Times New Roman"/>
          <w:sz w:val="24"/>
          <w:szCs w:val="24"/>
        </w:rPr>
      </w:pPr>
      <w:r w:rsidRPr="0038351F">
        <w:rPr>
          <w:rFonts w:cs="Times New Roman"/>
          <w:sz w:val="24"/>
          <w:szCs w:val="24"/>
        </w:rPr>
        <w:t>Veleia</w:t>
      </w:r>
      <w:r>
        <w:rPr>
          <w:rFonts w:cs="Times New Roman"/>
          <w:sz w:val="24"/>
          <w:szCs w:val="24"/>
        </w:rPr>
        <w:t>, i</w:t>
      </w:r>
      <w:r w:rsidR="007F269F" w:rsidRPr="0038351F">
        <w:rPr>
          <w:rFonts w:cs="Times New Roman"/>
          <w:sz w:val="24"/>
          <w:szCs w:val="24"/>
        </w:rPr>
        <w:t>mpiantata dai romani alla metà del II secolo a.C.  in funzione di controllo e di amministrazione d</w:t>
      </w:r>
      <w:r w:rsidR="00ED5DFE" w:rsidRPr="0038351F">
        <w:rPr>
          <w:rFonts w:cs="Times New Roman"/>
          <w:sz w:val="24"/>
          <w:szCs w:val="24"/>
        </w:rPr>
        <w:t xml:space="preserve">el </w:t>
      </w:r>
      <w:r w:rsidR="007F269F" w:rsidRPr="0038351F">
        <w:rPr>
          <w:rFonts w:cs="Times New Roman"/>
          <w:sz w:val="24"/>
          <w:szCs w:val="24"/>
        </w:rPr>
        <w:t xml:space="preserve">territorio montano compreso tra Taro e </w:t>
      </w:r>
      <w:r w:rsidR="00ED5DFE" w:rsidRPr="0038351F">
        <w:rPr>
          <w:rFonts w:cs="Times New Roman"/>
          <w:sz w:val="24"/>
          <w:szCs w:val="24"/>
        </w:rPr>
        <w:t>Trebbia</w:t>
      </w:r>
      <w:r w:rsidR="007F269F" w:rsidRPr="0038351F">
        <w:rPr>
          <w:rFonts w:cs="Times New Roman"/>
          <w:sz w:val="24"/>
          <w:szCs w:val="24"/>
        </w:rPr>
        <w:t xml:space="preserve"> popolato dai </w:t>
      </w:r>
      <w:proofErr w:type="spellStart"/>
      <w:r w:rsidR="007F269F" w:rsidRPr="0038351F">
        <w:rPr>
          <w:rFonts w:cs="Times New Roman"/>
          <w:i/>
          <w:sz w:val="24"/>
          <w:szCs w:val="24"/>
        </w:rPr>
        <w:t>Ligures</w:t>
      </w:r>
      <w:proofErr w:type="spellEnd"/>
      <w:r w:rsidR="007F269F" w:rsidRPr="0038351F">
        <w:rPr>
          <w:rFonts w:cs="Times New Roman"/>
          <w:i/>
          <w:sz w:val="24"/>
          <w:szCs w:val="24"/>
        </w:rPr>
        <w:t xml:space="preserve"> </w:t>
      </w:r>
      <w:proofErr w:type="spellStart"/>
      <w:r w:rsidR="007F269F" w:rsidRPr="0038351F">
        <w:rPr>
          <w:rFonts w:cs="Times New Roman"/>
          <w:i/>
          <w:sz w:val="24"/>
          <w:szCs w:val="24"/>
        </w:rPr>
        <w:t>Veleiates</w:t>
      </w:r>
      <w:proofErr w:type="spellEnd"/>
      <w:r w:rsidR="007F269F" w:rsidRPr="0038351F">
        <w:rPr>
          <w:rFonts w:cs="Times New Roman"/>
          <w:i/>
          <w:sz w:val="24"/>
          <w:szCs w:val="24"/>
        </w:rPr>
        <w:t>,</w:t>
      </w:r>
      <w:r w:rsidR="007F269F" w:rsidRPr="0038351F">
        <w:rPr>
          <w:rFonts w:cs="Times New Roman"/>
          <w:sz w:val="24"/>
          <w:szCs w:val="24"/>
        </w:rPr>
        <w:t xml:space="preserve"> oppositori dell’espansione romana</w:t>
      </w:r>
      <w:r w:rsidR="00CC4D49" w:rsidRPr="0038351F">
        <w:rPr>
          <w:rFonts w:cs="Times New Roman"/>
          <w:sz w:val="24"/>
          <w:szCs w:val="24"/>
        </w:rPr>
        <w:t xml:space="preserve">, visse una straordinaria fase di sviluppo </w:t>
      </w:r>
      <w:r w:rsidR="00ED5DFE" w:rsidRPr="0038351F">
        <w:rPr>
          <w:rFonts w:cs="Times New Roman"/>
          <w:sz w:val="24"/>
          <w:szCs w:val="24"/>
        </w:rPr>
        <w:t xml:space="preserve">nel I secolo d.C., durante la </w:t>
      </w:r>
      <w:r w:rsidR="00CC4D49" w:rsidRPr="0038351F">
        <w:rPr>
          <w:rFonts w:cs="Times New Roman"/>
          <w:sz w:val="24"/>
          <w:szCs w:val="24"/>
        </w:rPr>
        <w:t>prima età imperiale</w:t>
      </w:r>
      <w:r w:rsidR="00ED5DFE" w:rsidRPr="0038351F">
        <w:rPr>
          <w:rFonts w:cs="Times New Roman"/>
          <w:sz w:val="24"/>
          <w:szCs w:val="24"/>
        </w:rPr>
        <w:t>.</w:t>
      </w:r>
      <w:r w:rsidR="00CC4D49" w:rsidRPr="0038351F">
        <w:rPr>
          <w:rFonts w:cs="Times New Roman"/>
          <w:sz w:val="24"/>
          <w:szCs w:val="24"/>
        </w:rPr>
        <w:t xml:space="preserve"> Tuttavia,</w:t>
      </w:r>
      <w:r w:rsidR="007F269F" w:rsidRPr="0038351F">
        <w:rPr>
          <w:rFonts w:cs="Times New Roman"/>
          <w:sz w:val="24"/>
          <w:szCs w:val="24"/>
        </w:rPr>
        <w:t xml:space="preserve"> già nella prima metà del </w:t>
      </w:r>
      <w:r w:rsidR="00CC4D49" w:rsidRPr="0038351F">
        <w:rPr>
          <w:rFonts w:cs="Times New Roman"/>
          <w:sz w:val="24"/>
          <w:szCs w:val="24"/>
        </w:rPr>
        <w:t>s</w:t>
      </w:r>
      <w:r w:rsidR="007F269F" w:rsidRPr="0038351F">
        <w:rPr>
          <w:rFonts w:cs="Times New Roman"/>
          <w:sz w:val="24"/>
          <w:szCs w:val="24"/>
        </w:rPr>
        <w:t xml:space="preserve">ecolo </w:t>
      </w:r>
      <w:r w:rsidR="00CC4D49" w:rsidRPr="0038351F">
        <w:rPr>
          <w:rFonts w:cs="Times New Roman"/>
          <w:sz w:val="24"/>
          <w:szCs w:val="24"/>
        </w:rPr>
        <w:t>successivo</w:t>
      </w:r>
      <w:r w:rsidR="007F269F" w:rsidRPr="0038351F">
        <w:rPr>
          <w:rFonts w:cs="Times New Roman"/>
          <w:sz w:val="24"/>
          <w:szCs w:val="24"/>
        </w:rPr>
        <w:t xml:space="preserve"> </w:t>
      </w:r>
      <w:r w:rsidR="00C62388">
        <w:rPr>
          <w:rFonts w:cs="Times New Roman"/>
          <w:sz w:val="24"/>
          <w:szCs w:val="24"/>
        </w:rPr>
        <w:t>ha inizio</w:t>
      </w:r>
      <w:r w:rsidR="006123AA" w:rsidRPr="0038351F">
        <w:rPr>
          <w:rFonts w:cs="Times New Roman"/>
          <w:sz w:val="24"/>
          <w:szCs w:val="24"/>
        </w:rPr>
        <w:t xml:space="preserve"> </w:t>
      </w:r>
      <w:r w:rsidR="007F269F" w:rsidRPr="0038351F">
        <w:rPr>
          <w:rFonts w:cs="Times New Roman"/>
          <w:sz w:val="24"/>
          <w:szCs w:val="24"/>
        </w:rPr>
        <w:t>una progressiva crisi economica: sopravvissuta fino al V secolo d.C.</w:t>
      </w:r>
      <w:r w:rsidR="00C62388">
        <w:rPr>
          <w:rFonts w:cs="Times New Roman"/>
          <w:sz w:val="24"/>
          <w:szCs w:val="24"/>
        </w:rPr>
        <w:t>,</w:t>
      </w:r>
      <w:r w:rsidR="007F269F" w:rsidRPr="0038351F">
        <w:rPr>
          <w:rFonts w:cs="Times New Roman"/>
          <w:sz w:val="24"/>
          <w:szCs w:val="24"/>
        </w:rPr>
        <w:t xml:space="preserve"> </w:t>
      </w:r>
      <w:r w:rsidR="00C62388">
        <w:rPr>
          <w:rFonts w:cs="Times New Roman"/>
          <w:sz w:val="24"/>
          <w:szCs w:val="24"/>
        </w:rPr>
        <w:t>Veleia</w:t>
      </w:r>
      <w:r w:rsidR="007F269F" w:rsidRPr="0038351F">
        <w:rPr>
          <w:rFonts w:cs="Times New Roman"/>
          <w:sz w:val="24"/>
          <w:szCs w:val="24"/>
        </w:rPr>
        <w:t xml:space="preserve"> viene infine abbandonata nel difficile periodo delle guerre e del crollo dell’Impero Romano di Occidente. </w:t>
      </w:r>
    </w:p>
    <w:p w14:paraId="66EB05B1" w14:textId="77777777" w:rsidR="00D72D6A" w:rsidRPr="0038351F" w:rsidRDefault="00D72D6A" w:rsidP="00D72D6A">
      <w:pPr>
        <w:spacing w:after="0" w:line="264" w:lineRule="auto"/>
        <w:jc w:val="both"/>
        <w:rPr>
          <w:rFonts w:cs="Times New Roman"/>
          <w:sz w:val="24"/>
          <w:szCs w:val="24"/>
        </w:rPr>
      </w:pPr>
    </w:p>
    <w:p w14:paraId="519205E1" w14:textId="02C80F14" w:rsidR="00ED25AF" w:rsidRPr="0038351F" w:rsidRDefault="0038351F" w:rsidP="0069534B">
      <w:pPr>
        <w:rPr>
          <w:rFonts w:cs="Times New Roman"/>
          <w:sz w:val="24"/>
          <w:szCs w:val="24"/>
        </w:rPr>
      </w:pPr>
      <w:r w:rsidRPr="0038351F">
        <w:rPr>
          <w:rFonts w:cs="Times New Roman"/>
          <w:sz w:val="24"/>
          <w:szCs w:val="24"/>
        </w:rPr>
        <w:t xml:space="preserve"> </w:t>
      </w:r>
      <w:r w:rsidR="00D72D6A" w:rsidRPr="00D72D6A">
        <w:rPr>
          <w:rFonts w:cs="Times New Roman"/>
          <w:noProof/>
          <w:sz w:val="24"/>
          <w:szCs w:val="24"/>
          <w:lang w:eastAsia="it-IT"/>
        </w:rPr>
        <w:drawing>
          <wp:inline distT="0" distB="0" distL="0" distR="0" wp14:anchorId="769A2B3F" wp14:editId="20138B61">
            <wp:extent cx="2933700" cy="3365722"/>
            <wp:effectExtent l="0" t="0" r="0" b="6350"/>
            <wp:docPr id="24" name="Immagine 24" descr="P:\MUSEO ARCHEOLOGICO FOTO HANNINEN\IMMAGINI\5_Pilotta023-Web©hanninen-CF164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MUSEO ARCHEOLOGICO FOTO HANNINEN\IMMAGINI\5_Pilotta023-Web©hanninen-CF1648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18"/>
                    <a:stretch/>
                  </pic:blipFill>
                  <pic:spPr bwMode="auto">
                    <a:xfrm>
                      <a:off x="0" y="0"/>
                      <a:ext cx="2962892" cy="3399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9534B">
        <w:rPr>
          <w:rFonts w:cs="Times New Roman"/>
          <w:sz w:val="24"/>
          <w:szCs w:val="24"/>
        </w:rPr>
        <w:t xml:space="preserve">   </w:t>
      </w:r>
      <w:r w:rsidR="00D72D6A">
        <w:rPr>
          <w:rFonts w:cs="Times New Roman"/>
          <w:sz w:val="24"/>
          <w:szCs w:val="24"/>
        </w:rPr>
        <w:t xml:space="preserve">       </w:t>
      </w:r>
      <w:r w:rsidRPr="0038351F">
        <w:rPr>
          <w:rFonts w:cs="Times New Roman"/>
          <w:b/>
          <w:noProof/>
          <w:sz w:val="24"/>
          <w:szCs w:val="24"/>
          <w:lang w:eastAsia="it-IT"/>
        </w:rPr>
        <w:drawing>
          <wp:inline distT="0" distB="0" distL="0" distR="0" wp14:anchorId="07D4F31E" wp14:editId="0378C81D">
            <wp:extent cx="2448544" cy="3482120"/>
            <wp:effectExtent l="0" t="0" r="9525" b="4445"/>
            <wp:docPr id="8" name="Immagine 8" descr="C:\Users\muttia\Desktop\vaso attico\Baebia Bassi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ttia\Desktop\vaso attico\Baebia Bassill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373" cy="352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6CC76" w14:textId="77777777" w:rsidR="00B5675D" w:rsidRDefault="00B5675D" w:rsidP="00E0653C">
      <w:pPr>
        <w:ind w:right="282"/>
        <w:rPr>
          <w:rFonts w:cs="Times New Roman"/>
          <w:sz w:val="20"/>
          <w:szCs w:val="20"/>
        </w:rPr>
      </w:pPr>
    </w:p>
    <w:p w14:paraId="5150C8A0" w14:textId="77777777" w:rsidR="0069534B" w:rsidRDefault="0069534B" w:rsidP="00D72D6A">
      <w:pPr>
        <w:spacing w:after="120"/>
        <w:ind w:right="284"/>
        <w:rPr>
          <w:rFonts w:cs="Times New Roman"/>
          <w:b/>
          <w:sz w:val="24"/>
          <w:szCs w:val="24"/>
        </w:rPr>
      </w:pPr>
    </w:p>
    <w:p w14:paraId="2449D546" w14:textId="77777777" w:rsidR="0069534B" w:rsidRDefault="0069534B" w:rsidP="00D72D6A">
      <w:pPr>
        <w:spacing w:after="120"/>
        <w:ind w:right="284"/>
        <w:rPr>
          <w:rFonts w:cs="Times New Roman"/>
          <w:b/>
          <w:sz w:val="24"/>
          <w:szCs w:val="24"/>
        </w:rPr>
      </w:pPr>
    </w:p>
    <w:p w14:paraId="262DAD19" w14:textId="77777777" w:rsidR="00162A82" w:rsidRDefault="00162A82" w:rsidP="00D72D6A">
      <w:pPr>
        <w:spacing w:after="120"/>
        <w:ind w:right="284"/>
        <w:rPr>
          <w:rFonts w:cs="Times New Roman"/>
          <w:b/>
          <w:sz w:val="24"/>
          <w:szCs w:val="24"/>
        </w:rPr>
      </w:pPr>
    </w:p>
    <w:p w14:paraId="27E81B40" w14:textId="77777777" w:rsidR="00162A82" w:rsidRDefault="00162A82" w:rsidP="00D72D6A">
      <w:pPr>
        <w:spacing w:after="120"/>
        <w:ind w:right="284"/>
        <w:rPr>
          <w:rFonts w:cs="Times New Roman"/>
          <w:b/>
          <w:sz w:val="24"/>
          <w:szCs w:val="24"/>
        </w:rPr>
      </w:pPr>
    </w:p>
    <w:p w14:paraId="0523D832" w14:textId="4156542D" w:rsidR="00B5675D" w:rsidRPr="00D72D6A" w:rsidRDefault="00B5675D" w:rsidP="00D72D6A">
      <w:pPr>
        <w:spacing w:after="120"/>
        <w:ind w:right="284"/>
        <w:rPr>
          <w:rFonts w:cs="Times New Roman"/>
          <w:sz w:val="24"/>
          <w:szCs w:val="24"/>
        </w:rPr>
      </w:pPr>
      <w:r w:rsidRPr="00D72D6A">
        <w:rPr>
          <w:rFonts w:cs="Times New Roman"/>
          <w:b/>
          <w:sz w:val="24"/>
          <w:szCs w:val="24"/>
        </w:rPr>
        <w:t>Opera</w:t>
      </w:r>
      <w:r w:rsidRPr="00D72D6A">
        <w:rPr>
          <w:rFonts w:cs="Times New Roman"/>
          <w:sz w:val="24"/>
          <w:szCs w:val="24"/>
        </w:rPr>
        <w:t xml:space="preserve">: testa femminile, considerata ritratto di </w:t>
      </w:r>
      <w:proofErr w:type="spellStart"/>
      <w:r w:rsidRPr="00D72D6A">
        <w:rPr>
          <w:rFonts w:cs="Times New Roman"/>
          <w:sz w:val="24"/>
          <w:szCs w:val="24"/>
        </w:rPr>
        <w:t>Baebia</w:t>
      </w:r>
      <w:proofErr w:type="spellEnd"/>
      <w:r w:rsidRPr="00D72D6A">
        <w:rPr>
          <w:rFonts w:cs="Times New Roman"/>
          <w:sz w:val="24"/>
          <w:szCs w:val="24"/>
        </w:rPr>
        <w:t xml:space="preserve"> </w:t>
      </w:r>
      <w:proofErr w:type="spellStart"/>
      <w:r w:rsidRPr="00D72D6A">
        <w:rPr>
          <w:rFonts w:cs="Times New Roman"/>
          <w:sz w:val="24"/>
          <w:szCs w:val="24"/>
        </w:rPr>
        <w:t>Bassilla</w:t>
      </w:r>
      <w:proofErr w:type="spellEnd"/>
    </w:p>
    <w:p w14:paraId="5130C7A7" w14:textId="65A1A42A" w:rsidR="00B5675D" w:rsidRPr="00D72D6A" w:rsidRDefault="00B5675D" w:rsidP="00D72D6A">
      <w:pPr>
        <w:spacing w:after="120"/>
        <w:ind w:right="284"/>
        <w:rPr>
          <w:rFonts w:cs="Times New Roman"/>
          <w:sz w:val="24"/>
          <w:szCs w:val="24"/>
        </w:rPr>
      </w:pPr>
      <w:r w:rsidRPr="00D72D6A">
        <w:rPr>
          <w:rFonts w:cs="Times New Roman"/>
          <w:b/>
          <w:sz w:val="24"/>
          <w:szCs w:val="24"/>
        </w:rPr>
        <w:t>Materiale</w:t>
      </w:r>
      <w:r w:rsidRPr="00D72D6A">
        <w:rPr>
          <w:rFonts w:cs="Times New Roman"/>
          <w:sz w:val="24"/>
          <w:szCs w:val="24"/>
        </w:rPr>
        <w:t>: bronzo</w:t>
      </w:r>
    </w:p>
    <w:p w14:paraId="75929B90" w14:textId="08FBEF0B" w:rsidR="00B5675D" w:rsidRPr="00D72D6A" w:rsidRDefault="00B5675D" w:rsidP="00D72D6A">
      <w:pPr>
        <w:spacing w:after="120"/>
        <w:ind w:right="284"/>
        <w:rPr>
          <w:rFonts w:cs="Times New Roman"/>
          <w:sz w:val="24"/>
          <w:szCs w:val="24"/>
        </w:rPr>
      </w:pPr>
      <w:r w:rsidRPr="00D72D6A">
        <w:rPr>
          <w:rFonts w:cs="Times New Roman"/>
          <w:b/>
          <w:sz w:val="24"/>
          <w:szCs w:val="24"/>
        </w:rPr>
        <w:t>Tecnica</w:t>
      </w:r>
      <w:r w:rsidRPr="00D72D6A">
        <w:rPr>
          <w:rFonts w:cs="Times New Roman"/>
          <w:sz w:val="24"/>
          <w:szCs w:val="24"/>
        </w:rPr>
        <w:t>: fusione a cera persa; occhi in calcedonio</w:t>
      </w:r>
    </w:p>
    <w:p w14:paraId="5F508C51" w14:textId="22D9CC9F" w:rsidR="00B5675D" w:rsidRPr="00D72D6A" w:rsidRDefault="00B5675D" w:rsidP="00D72D6A">
      <w:pPr>
        <w:spacing w:after="120"/>
        <w:ind w:right="284"/>
        <w:rPr>
          <w:rFonts w:cs="Times New Roman"/>
          <w:sz w:val="24"/>
          <w:szCs w:val="24"/>
        </w:rPr>
      </w:pPr>
      <w:r w:rsidRPr="00D72D6A">
        <w:rPr>
          <w:rFonts w:cs="Times New Roman"/>
          <w:b/>
          <w:sz w:val="24"/>
          <w:szCs w:val="24"/>
        </w:rPr>
        <w:t>Misure</w:t>
      </w:r>
      <w:r w:rsidRPr="00D72D6A">
        <w:rPr>
          <w:rFonts w:cs="Times New Roman"/>
          <w:sz w:val="24"/>
          <w:szCs w:val="24"/>
        </w:rPr>
        <w:t>: h: 33 cm; largh.20 cm</w:t>
      </w:r>
    </w:p>
    <w:p w14:paraId="188BA7E3" w14:textId="2D8F099A" w:rsidR="00B5675D" w:rsidRPr="00D72D6A" w:rsidRDefault="00B5675D" w:rsidP="00D72D6A">
      <w:pPr>
        <w:spacing w:after="120"/>
        <w:ind w:right="284"/>
        <w:rPr>
          <w:rFonts w:cs="Times New Roman"/>
          <w:sz w:val="24"/>
          <w:szCs w:val="24"/>
        </w:rPr>
      </w:pPr>
      <w:r w:rsidRPr="00D72D6A">
        <w:rPr>
          <w:rFonts w:cs="Times New Roman"/>
          <w:b/>
          <w:sz w:val="24"/>
          <w:szCs w:val="24"/>
        </w:rPr>
        <w:t>Datazione</w:t>
      </w:r>
      <w:r w:rsidRPr="00D72D6A">
        <w:rPr>
          <w:rFonts w:cs="Times New Roman"/>
          <w:sz w:val="24"/>
          <w:szCs w:val="24"/>
        </w:rPr>
        <w:t>: fine I secolo a.C.</w:t>
      </w:r>
    </w:p>
    <w:p w14:paraId="63701676" w14:textId="3D511F14" w:rsidR="00B5675D" w:rsidRPr="00D72D6A" w:rsidRDefault="00B5675D" w:rsidP="00D72D6A">
      <w:pPr>
        <w:spacing w:after="120"/>
        <w:ind w:right="284"/>
        <w:rPr>
          <w:rFonts w:cs="Times New Roman"/>
          <w:sz w:val="24"/>
          <w:szCs w:val="24"/>
        </w:rPr>
      </w:pPr>
      <w:r w:rsidRPr="00D72D6A">
        <w:rPr>
          <w:rFonts w:cs="Times New Roman"/>
          <w:b/>
          <w:sz w:val="24"/>
          <w:szCs w:val="24"/>
        </w:rPr>
        <w:t>Esecuzione</w:t>
      </w:r>
      <w:r w:rsidRPr="00D72D6A">
        <w:rPr>
          <w:rFonts w:cs="Times New Roman"/>
          <w:sz w:val="24"/>
          <w:szCs w:val="24"/>
        </w:rPr>
        <w:t>: opera di officine locali</w:t>
      </w:r>
    </w:p>
    <w:p w14:paraId="6C221ECD" w14:textId="71DAE3F6" w:rsidR="00B5675D" w:rsidRPr="00D72D6A" w:rsidRDefault="00B5675D" w:rsidP="00D72D6A">
      <w:pPr>
        <w:spacing w:after="120"/>
        <w:ind w:right="284"/>
        <w:rPr>
          <w:rFonts w:cs="Times New Roman"/>
          <w:sz w:val="24"/>
          <w:szCs w:val="24"/>
        </w:rPr>
      </w:pPr>
      <w:r w:rsidRPr="00D72D6A">
        <w:rPr>
          <w:rFonts w:cs="Times New Roman"/>
          <w:b/>
          <w:sz w:val="24"/>
          <w:szCs w:val="24"/>
        </w:rPr>
        <w:t>Provenienza</w:t>
      </w:r>
      <w:r w:rsidRPr="00D72D6A">
        <w:rPr>
          <w:rFonts w:cs="Times New Roman"/>
          <w:sz w:val="24"/>
          <w:szCs w:val="24"/>
        </w:rPr>
        <w:t>: scavi di Veleia</w:t>
      </w:r>
      <w:r w:rsidR="00D72D6A" w:rsidRPr="00D72D6A">
        <w:rPr>
          <w:rFonts w:cs="Times New Roman"/>
          <w:sz w:val="24"/>
          <w:szCs w:val="24"/>
        </w:rPr>
        <w:t xml:space="preserve"> (PC)</w:t>
      </w:r>
      <w:r w:rsidRPr="00D72D6A">
        <w:rPr>
          <w:rFonts w:cs="Times New Roman"/>
          <w:sz w:val="24"/>
          <w:szCs w:val="24"/>
        </w:rPr>
        <w:t>, anno 1760</w:t>
      </w:r>
    </w:p>
    <w:p w14:paraId="28929504" w14:textId="53E3A57D" w:rsidR="00E0653C" w:rsidRPr="00D72D6A" w:rsidRDefault="00E0653C" w:rsidP="00D72D6A">
      <w:pPr>
        <w:spacing w:after="120"/>
        <w:ind w:right="284"/>
        <w:rPr>
          <w:rFonts w:cs="Times New Roman"/>
          <w:sz w:val="24"/>
          <w:szCs w:val="24"/>
        </w:rPr>
      </w:pPr>
      <w:r w:rsidRPr="00D72D6A">
        <w:rPr>
          <w:rFonts w:cs="Times New Roman"/>
          <w:b/>
          <w:sz w:val="24"/>
          <w:szCs w:val="24"/>
        </w:rPr>
        <w:t>Numero di inventario</w:t>
      </w:r>
      <w:r w:rsidRPr="00D72D6A">
        <w:rPr>
          <w:rFonts w:cs="Times New Roman"/>
          <w:sz w:val="24"/>
          <w:szCs w:val="24"/>
        </w:rPr>
        <w:t xml:space="preserve">: </w:t>
      </w:r>
      <w:r w:rsidR="00B5675D" w:rsidRPr="00D72D6A">
        <w:rPr>
          <w:rFonts w:cs="Times New Roman"/>
          <w:sz w:val="24"/>
          <w:szCs w:val="24"/>
        </w:rPr>
        <w:t>560 (B 1)</w:t>
      </w:r>
      <w:r w:rsidRPr="00D72D6A">
        <w:rPr>
          <w:rFonts w:cs="Times New Roman"/>
          <w:sz w:val="24"/>
          <w:szCs w:val="24"/>
        </w:rPr>
        <w:t xml:space="preserve"> </w:t>
      </w:r>
    </w:p>
    <w:p w14:paraId="78C939E7" w14:textId="7BE9FF85" w:rsidR="00ED25AF" w:rsidRPr="00D72D6A" w:rsidRDefault="00D72D6A" w:rsidP="00D72D6A">
      <w:pPr>
        <w:spacing w:after="120"/>
        <w:ind w:right="284"/>
        <w:rPr>
          <w:rFonts w:cs="Times New Roman"/>
          <w:sz w:val="24"/>
          <w:szCs w:val="24"/>
        </w:rPr>
      </w:pPr>
      <w:r w:rsidRPr="00D72D6A">
        <w:rPr>
          <w:rFonts w:cs="Times New Roman"/>
          <w:b/>
          <w:sz w:val="24"/>
          <w:szCs w:val="24"/>
        </w:rPr>
        <w:t>Sede di esposizione</w:t>
      </w:r>
      <w:r w:rsidRPr="00D72D6A">
        <w:rPr>
          <w:rFonts w:cs="Times New Roman"/>
          <w:sz w:val="24"/>
          <w:szCs w:val="24"/>
        </w:rPr>
        <w:t>: Museo archeologico, sala 5</w:t>
      </w:r>
    </w:p>
    <w:p w14:paraId="557571D8" w14:textId="2D0EB1AD" w:rsidR="00D72D6A" w:rsidRPr="00D72D6A" w:rsidRDefault="00D72D6A" w:rsidP="00D72D6A">
      <w:pPr>
        <w:spacing w:after="0"/>
        <w:ind w:right="284"/>
        <w:rPr>
          <w:rFonts w:cs="Times New Roman"/>
          <w:sz w:val="24"/>
          <w:szCs w:val="24"/>
        </w:rPr>
      </w:pPr>
      <w:r w:rsidRPr="00D72D6A">
        <w:rPr>
          <w:rFonts w:cs="Times New Roman"/>
          <w:b/>
          <w:sz w:val="24"/>
          <w:szCs w:val="24"/>
        </w:rPr>
        <w:t>Stato di conservazione</w:t>
      </w:r>
      <w:r>
        <w:rPr>
          <w:rFonts w:cs="Times New Roman"/>
          <w:sz w:val="24"/>
          <w:szCs w:val="24"/>
        </w:rPr>
        <w:t xml:space="preserve">: </w:t>
      </w:r>
      <w:r w:rsidR="00E0653C" w:rsidRPr="00D72D6A">
        <w:rPr>
          <w:rFonts w:cs="Times New Roman"/>
          <w:sz w:val="24"/>
          <w:szCs w:val="24"/>
        </w:rPr>
        <w:t xml:space="preserve">L’opera si presenta in discreto stato di conservazione. Si segnala </w:t>
      </w:r>
      <w:r w:rsidRPr="00D72D6A">
        <w:rPr>
          <w:rFonts w:cs="Times New Roman"/>
          <w:sz w:val="24"/>
          <w:szCs w:val="24"/>
        </w:rPr>
        <w:t xml:space="preserve">tuttavia </w:t>
      </w:r>
      <w:r w:rsidR="00E0653C" w:rsidRPr="00D72D6A">
        <w:rPr>
          <w:rFonts w:cs="Times New Roman"/>
          <w:sz w:val="24"/>
          <w:szCs w:val="24"/>
        </w:rPr>
        <w:t xml:space="preserve">la presenza di depositi incoerenti superficiali, forse sostanze </w:t>
      </w:r>
      <w:proofErr w:type="spellStart"/>
      <w:r w:rsidR="00E0653C" w:rsidRPr="00D72D6A">
        <w:rPr>
          <w:rFonts w:cs="Times New Roman"/>
          <w:sz w:val="24"/>
          <w:szCs w:val="24"/>
        </w:rPr>
        <w:t>sovrammesse</w:t>
      </w:r>
      <w:proofErr w:type="spellEnd"/>
      <w:r w:rsidR="00E0653C" w:rsidRPr="00D72D6A">
        <w:rPr>
          <w:rFonts w:cs="Times New Roman"/>
          <w:sz w:val="24"/>
          <w:szCs w:val="24"/>
        </w:rPr>
        <w:t xml:space="preserve"> di varia natura</w:t>
      </w:r>
      <w:r w:rsidRPr="00D72D6A">
        <w:rPr>
          <w:rFonts w:cs="Times New Roman"/>
          <w:sz w:val="24"/>
          <w:szCs w:val="24"/>
        </w:rPr>
        <w:t>, di restauri effettuati in tempi remoti e con materiali e trattamenti inadeguati</w:t>
      </w:r>
      <w:r w:rsidR="00E0653C" w:rsidRPr="00D72D6A">
        <w:rPr>
          <w:rFonts w:cs="Times New Roman"/>
          <w:sz w:val="24"/>
          <w:szCs w:val="24"/>
        </w:rPr>
        <w:t xml:space="preserve">. </w:t>
      </w:r>
    </w:p>
    <w:p w14:paraId="1310F8E8" w14:textId="47690E22" w:rsidR="00E0653C" w:rsidRPr="00D72D6A" w:rsidRDefault="00D72D6A" w:rsidP="00D72D6A">
      <w:pPr>
        <w:spacing w:after="0"/>
        <w:ind w:right="282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Nella parte interna si riscontrano piccole tracce di corrosione, probabilmente attiva. </w:t>
      </w:r>
    </w:p>
    <w:p w14:paraId="515F4726" w14:textId="77777777" w:rsidR="0069534B" w:rsidRDefault="0069534B" w:rsidP="00ED25AF">
      <w:pPr>
        <w:rPr>
          <w:rFonts w:cs="Times New Roman"/>
          <w:b/>
          <w:bCs/>
          <w:sz w:val="24"/>
          <w:szCs w:val="24"/>
        </w:rPr>
      </w:pPr>
    </w:p>
    <w:p w14:paraId="651FB0B9" w14:textId="77777777" w:rsidR="0069534B" w:rsidRDefault="0069534B" w:rsidP="00ED25AF">
      <w:pPr>
        <w:rPr>
          <w:rFonts w:cs="Times New Roman"/>
          <w:b/>
          <w:bCs/>
          <w:sz w:val="24"/>
          <w:szCs w:val="24"/>
        </w:rPr>
      </w:pPr>
    </w:p>
    <w:p w14:paraId="1E9699AC" w14:textId="77777777" w:rsidR="0069534B" w:rsidRDefault="0069534B" w:rsidP="00ED25AF">
      <w:pPr>
        <w:rPr>
          <w:rFonts w:cs="Times New Roman"/>
          <w:b/>
          <w:bCs/>
          <w:sz w:val="24"/>
          <w:szCs w:val="24"/>
        </w:rPr>
      </w:pPr>
    </w:p>
    <w:p w14:paraId="6D482CE6" w14:textId="0BCBA571" w:rsidR="00ED25AF" w:rsidRDefault="009E2EB5" w:rsidP="00ED25AF">
      <w:pPr>
        <w:rPr>
          <w:rFonts w:cs="Times New Roman"/>
          <w:b/>
          <w:bCs/>
          <w:sz w:val="24"/>
          <w:szCs w:val="24"/>
        </w:rPr>
      </w:pPr>
      <w:r w:rsidRPr="00D72D6A">
        <w:rPr>
          <w:rFonts w:cs="Times New Roman"/>
          <w:b/>
          <w:bCs/>
          <w:sz w:val="24"/>
          <w:szCs w:val="24"/>
        </w:rPr>
        <w:t xml:space="preserve">PROGETTO DI RESTAURO </w:t>
      </w:r>
    </w:p>
    <w:p w14:paraId="049B1B06" w14:textId="3B6F3DE7" w:rsidR="00D637B3" w:rsidRPr="00D72D6A" w:rsidRDefault="00D637B3" w:rsidP="00D637B3">
      <w:pPr>
        <w:autoSpaceDE w:val="0"/>
        <w:autoSpaceDN w:val="0"/>
        <w:adjustRightInd w:val="0"/>
        <w:spacing w:after="0" w:line="288" w:lineRule="auto"/>
        <w:jc w:val="both"/>
        <w:rPr>
          <w:rFonts w:eastAsia="SymbolMT" w:cs="Arial"/>
          <w:sz w:val="24"/>
          <w:szCs w:val="24"/>
        </w:rPr>
      </w:pPr>
      <w:r w:rsidRPr="00D72D6A">
        <w:rPr>
          <w:rFonts w:eastAsia="SymbolMT" w:cs="Arial"/>
          <w:sz w:val="24"/>
          <w:szCs w:val="24"/>
        </w:rPr>
        <w:t>- Esame e documentazione dello stato di conservazione iniziale de</w:t>
      </w:r>
      <w:r w:rsidR="000E2C18" w:rsidRPr="00D72D6A">
        <w:rPr>
          <w:rFonts w:eastAsia="SymbolMT" w:cs="Arial"/>
          <w:sz w:val="24"/>
          <w:szCs w:val="24"/>
        </w:rPr>
        <w:t>l reperto</w:t>
      </w:r>
      <w:r w:rsidRPr="00D72D6A">
        <w:rPr>
          <w:rFonts w:eastAsia="SymbolMT" w:cs="Arial"/>
          <w:sz w:val="24"/>
          <w:szCs w:val="24"/>
        </w:rPr>
        <w:t xml:space="preserve"> mediante fotografie e schede descrittive.</w:t>
      </w:r>
    </w:p>
    <w:p w14:paraId="4D685A0B" w14:textId="43C253E2" w:rsidR="00D637B3" w:rsidRPr="00D72D6A" w:rsidRDefault="00D637B3" w:rsidP="00D637B3">
      <w:pPr>
        <w:autoSpaceDE w:val="0"/>
        <w:autoSpaceDN w:val="0"/>
        <w:adjustRightInd w:val="0"/>
        <w:spacing w:after="0" w:line="288" w:lineRule="auto"/>
        <w:jc w:val="both"/>
        <w:rPr>
          <w:rFonts w:eastAsia="SymbolMT" w:cs="Arial"/>
          <w:sz w:val="24"/>
          <w:szCs w:val="24"/>
        </w:rPr>
      </w:pPr>
      <w:r w:rsidRPr="00D72D6A">
        <w:rPr>
          <w:rFonts w:eastAsia="SymbolMT" w:cs="Arial"/>
          <w:sz w:val="24"/>
          <w:szCs w:val="24"/>
        </w:rPr>
        <w:t xml:space="preserve">- </w:t>
      </w:r>
      <w:r w:rsidR="000E2C18" w:rsidRPr="00D72D6A">
        <w:rPr>
          <w:rFonts w:eastAsia="SymbolMT" w:cs="Arial"/>
          <w:sz w:val="24"/>
          <w:szCs w:val="24"/>
        </w:rPr>
        <w:t>R</w:t>
      </w:r>
      <w:r w:rsidRPr="00D72D6A">
        <w:rPr>
          <w:rFonts w:eastAsia="SymbolMT" w:cs="Arial"/>
          <w:sz w:val="24"/>
          <w:szCs w:val="24"/>
        </w:rPr>
        <w:t>imozione di vecchi p</w:t>
      </w:r>
      <w:r w:rsidR="000E2C18" w:rsidRPr="00D72D6A">
        <w:rPr>
          <w:rFonts w:eastAsia="SymbolMT" w:cs="Arial"/>
          <w:sz w:val="24"/>
          <w:szCs w:val="24"/>
        </w:rPr>
        <w:t>rotettivi con solventi organici.</w:t>
      </w:r>
    </w:p>
    <w:p w14:paraId="37533FEC" w14:textId="45EB107D" w:rsidR="00D637B3" w:rsidRPr="00D72D6A" w:rsidRDefault="00D637B3" w:rsidP="00D637B3">
      <w:pPr>
        <w:autoSpaceDE w:val="0"/>
        <w:autoSpaceDN w:val="0"/>
        <w:adjustRightInd w:val="0"/>
        <w:spacing w:after="0" w:line="288" w:lineRule="auto"/>
        <w:jc w:val="both"/>
        <w:rPr>
          <w:rFonts w:eastAsia="SymbolMT" w:cs="Arial"/>
          <w:sz w:val="24"/>
          <w:szCs w:val="24"/>
        </w:rPr>
      </w:pPr>
      <w:r w:rsidRPr="00D72D6A">
        <w:rPr>
          <w:rFonts w:eastAsia="SymbolMT" w:cs="Arial"/>
          <w:sz w:val="24"/>
          <w:szCs w:val="24"/>
        </w:rPr>
        <w:t xml:space="preserve">- Cauta pulitura meccanica a bisturi ed eventualmente mediante l’utilizzo di micromotore con </w:t>
      </w:r>
      <w:proofErr w:type="spellStart"/>
      <w:r w:rsidRPr="00D72D6A">
        <w:rPr>
          <w:rFonts w:eastAsia="SymbolMT" w:cs="Arial"/>
          <w:sz w:val="24"/>
          <w:szCs w:val="24"/>
        </w:rPr>
        <w:t>fresette</w:t>
      </w:r>
      <w:proofErr w:type="spellEnd"/>
      <w:r w:rsidRPr="00D72D6A">
        <w:rPr>
          <w:rFonts w:eastAsia="SymbolMT" w:cs="Arial"/>
          <w:sz w:val="24"/>
          <w:szCs w:val="24"/>
        </w:rPr>
        <w:t xml:space="preserve"> e con spazzoline morbide per la rifinitura, sotto costante controllo visivo al microscopio binoculare. Per rimuovere o ammorbidire residui di incrostazioni </w:t>
      </w:r>
      <w:r w:rsidR="000E2C18" w:rsidRPr="00D72D6A">
        <w:rPr>
          <w:rFonts w:eastAsia="SymbolMT" w:cs="Arial"/>
          <w:sz w:val="24"/>
          <w:szCs w:val="24"/>
        </w:rPr>
        <w:t>di varia natura</w:t>
      </w:r>
      <w:r w:rsidRPr="00D72D6A">
        <w:rPr>
          <w:rFonts w:eastAsia="SymbolMT" w:cs="Arial"/>
          <w:sz w:val="24"/>
          <w:szCs w:val="24"/>
        </w:rPr>
        <w:t>, prodotti di corrosione, depositi incoerenti e polvere, si userà acqua deionizzata con un tensioattivo non ionico e/o differenti soluzioni di solventi organici, con bagni o tamponi e l’eventuale ausilio di pennelli e spazzolini.</w:t>
      </w:r>
    </w:p>
    <w:p w14:paraId="0FC8181B" w14:textId="7142A9A7" w:rsidR="00D637B3" w:rsidRPr="00D72D6A" w:rsidRDefault="00D637B3" w:rsidP="00D637B3">
      <w:pPr>
        <w:autoSpaceDE w:val="0"/>
        <w:autoSpaceDN w:val="0"/>
        <w:adjustRightInd w:val="0"/>
        <w:spacing w:after="0" w:line="288" w:lineRule="auto"/>
        <w:jc w:val="both"/>
        <w:rPr>
          <w:rFonts w:eastAsia="SymbolMT" w:cs="Arial"/>
          <w:sz w:val="24"/>
          <w:szCs w:val="24"/>
        </w:rPr>
      </w:pPr>
      <w:r w:rsidRPr="00D72D6A">
        <w:rPr>
          <w:rFonts w:eastAsia="SymbolMT" w:cs="Arial"/>
          <w:sz w:val="24"/>
          <w:szCs w:val="24"/>
        </w:rPr>
        <w:t>-</w:t>
      </w:r>
      <w:r w:rsidR="000E2C18" w:rsidRPr="00D72D6A">
        <w:rPr>
          <w:rFonts w:eastAsia="SymbolMT" w:cs="Arial"/>
          <w:sz w:val="24"/>
          <w:szCs w:val="24"/>
        </w:rPr>
        <w:t xml:space="preserve"> Eventuale rimozione e sostituzione di integrazioni antiche con materiali più idonei</w:t>
      </w:r>
    </w:p>
    <w:p w14:paraId="71294AE6" w14:textId="01773E21" w:rsidR="00D637B3" w:rsidRPr="00D72D6A" w:rsidRDefault="000E2C18" w:rsidP="00D637B3">
      <w:pPr>
        <w:autoSpaceDE w:val="0"/>
        <w:autoSpaceDN w:val="0"/>
        <w:adjustRightInd w:val="0"/>
        <w:spacing w:after="0" w:line="288" w:lineRule="auto"/>
        <w:jc w:val="both"/>
        <w:rPr>
          <w:rFonts w:eastAsia="SymbolMT" w:cs="Arial"/>
          <w:sz w:val="24"/>
          <w:szCs w:val="24"/>
        </w:rPr>
      </w:pPr>
      <w:r w:rsidRPr="00D72D6A">
        <w:rPr>
          <w:rFonts w:eastAsia="SymbolMT" w:cs="Arial"/>
          <w:sz w:val="24"/>
          <w:szCs w:val="24"/>
        </w:rPr>
        <w:t xml:space="preserve">- </w:t>
      </w:r>
      <w:r w:rsidR="00D637B3" w:rsidRPr="00D72D6A">
        <w:rPr>
          <w:rFonts w:eastAsia="SymbolMT" w:cs="Arial"/>
          <w:sz w:val="24"/>
          <w:szCs w:val="24"/>
        </w:rPr>
        <w:t xml:space="preserve"> Se necessario, incollaggio, infiltrazione e/o integrazione di piccole lacune per il rinforzo strutturale con resina epossidica bicomponente con strato d'isolamento (</w:t>
      </w:r>
      <w:proofErr w:type="spellStart"/>
      <w:r w:rsidR="00D637B3" w:rsidRPr="00D72D6A">
        <w:rPr>
          <w:rFonts w:eastAsia="SymbolMT" w:cs="Arial"/>
          <w:sz w:val="24"/>
          <w:szCs w:val="24"/>
        </w:rPr>
        <w:t>primer</w:t>
      </w:r>
      <w:proofErr w:type="spellEnd"/>
      <w:r w:rsidR="00D637B3" w:rsidRPr="00D72D6A">
        <w:rPr>
          <w:rFonts w:eastAsia="SymbolMT" w:cs="Arial"/>
          <w:sz w:val="24"/>
          <w:szCs w:val="24"/>
        </w:rPr>
        <w:t xml:space="preserve">) con resina acrilica </w:t>
      </w:r>
      <w:proofErr w:type="spellStart"/>
      <w:r w:rsidR="00D637B3" w:rsidRPr="00D72D6A">
        <w:rPr>
          <w:rFonts w:eastAsia="SymbolMT" w:cs="Arial"/>
          <w:sz w:val="24"/>
          <w:szCs w:val="24"/>
        </w:rPr>
        <w:t>Paraloid</w:t>
      </w:r>
      <w:proofErr w:type="spellEnd"/>
      <w:r w:rsidR="00D637B3" w:rsidRPr="00D72D6A">
        <w:rPr>
          <w:rFonts w:eastAsia="SymbolMT" w:cs="Arial"/>
          <w:sz w:val="24"/>
          <w:szCs w:val="24"/>
        </w:rPr>
        <w:t>;</w:t>
      </w:r>
    </w:p>
    <w:p w14:paraId="696010C2" w14:textId="51AD1E54" w:rsidR="00D637B3" w:rsidRPr="00D72D6A" w:rsidRDefault="00D637B3" w:rsidP="000E2C18">
      <w:pPr>
        <w:autoSpaceDE w:val="0"/>
        <w:autoSpaceDN w:val="0"/>
        <w:adjustRightInd w:val="0"/>
        <w:spacing w:after="0" w:line="288" w:lineRule="auto"/>
        <w:jc w:val="both"/>
        <w:rPr>
          <w:rFonts w:eastAsia="SymbolMT" w:cs="Arial"/>
          <w:sz w:val="24"/>
          <w:szCs w:val="24"/>
        </w:rPr>
      </w:pPr>
      <w:r w:rsidRPr="00D72D6A">
        <w:rPr>
          <w:rFonts w:eastAsia="SymbolMT" w:cs="Arial"/>
          <w:sz w:val="24"/>
          <w:szCs w:val="24"/>
        </w:rPr>
        <w:t xml:space="preserve">- Protezione/consolidamento finale con resina acrilica </w:t>
      </w:r>
      <w:proofErr w:type="spellStart"/>
      <w:r w:rsidRPr="00D72D6A">
        <w:rPr>
          <w:rFonts w:eastAsia="SymbolMT" w:cs="Arial"/>
          <w:sz w:val="24"/>
          <w:szCs w:val="24"/>
        </w:rPr>
        <w:t>Paraloid</w:t>
      </w:r>
      <w:proofErr w:type="spellEnd"/>
      <w:r w:rsidRPr="00D72D6A">
        <w:rPr>
          <w:rFonts w:eastAsia="SymbolMT" w:cs="Arial"/>
          <w:sz w:val="24"/>
          <w:szCs w:val="24"/>
        </w:rPr>
        <w:t xml:space="preserve"> B 44 a bassa concentrazione in solvente organico.</w:t>
      </w:r>
    </w:p>
    <w:p w14:paraId="4617072C" w14:textId="414293ED" w:rsidR="007520D9" w:rsidRDefault="007520D9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p w14:paraId="55466DB1" w14:textId="0E6A40C4" w:rsidR="00ED25AF" w:rsidRDefault="00ED25AF" w:rsidP="008A40AB">
      <w:pPr>
        <w:ind w:firstLine="142"/>
        <w:rPr>
          <w:rFonts w:cs="Times New Roman"/>
          <w:noProof/>
          <w:sz w:val="20"/>
          <w:lang w:eastAsia="it-IT"/>
        </w:rPr>
      </w:pPr>
    </w:p>
    <w:p w14:paraId="1D4362DE" w14:textId="77777777" w:rsidR="00162A82" w:rsidRPr="00D637B3" w:rsidRDefault="00162A82" w:rsidP="008A40AB">
      <w:pPr>
        <w:ind w:firstLine="142"/>
        <w:rPr>
          <w:rFonts w:cs="Times New Roman"/>
          <w:noProof/>
          <w:sz w:val="20"/>
          <w:lang w:eastAsia="it-IT"/>
        </w:rPr>
      </w:pPr>
      <w:bookmarkStart w:id="0" w:name="_GoBack"/>
      <w:bookmarkEnd w:id="0"/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0"/>
        <w:gridCol w:w="2220"/>
      </w:tblGrid>
      <w:tr w:rsidR="00D826A0" w:rsidRPr="00D826A0" w14:paraId="4EB4277C" w14:textId="77777777" w:rsidTr="00D826A0">
        <w:trPr>
          <w:trHeight w:val="375"/>
        </w:trPr>
        <w:tc>
          <w:tcPr>
            <w:tcW w:w="9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65DBF6" w14:textId="77777777" w:rsidR="00D826A0" w:rsidRPr="00D826A0" w:rsidRDefault="00D826A0" w:rsidP="00D826A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bookmarkStart w:id="1" w:name="RANGE!A1:B24"/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it-IT"/>
              </w:rPr>
              <w:t>COMPLESSO MONUMENTALE DELLA PILOTTA</w:t>
            </w:r>
            <w:bookmarkEnd w:id="1"/>
          </w:p>
        </w:tc>
      </w:tr>
      <w:tr w:rsidR="00D826A0" w:rsidRPr="00D826A0" w14:paraId="06FA3652" w14:textId="77777777" w:rsidTr="00D826A0">
        <w:trPr>
          <w:trHeight w:val="930"/>
        </w:trPr>
        <w:tc>
          <w:tcPr>
            <w:tcW w:w="93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5BA5F2" w14:textId="77777777" w:rsidR="00D826A0" w:rsidRPr="00D826A0" w:rsidRDefault="00D826A0" w:rsidP="00D826A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 xml:space="preserve">OGGETTO INTERVENTO: restauro </w:t>
            </w:r>
            <w:proofErr w:type="spellStart"/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Baebia</w:t>
            </w:r>
            <w:proofErr w:type="spellEnd"/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Bassilla</w:t>
            </w:r>
            <w:proofErr w:type="spellEnd"/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 xml:space="preserve"> Veleia</w:t>
            </w:r>
          </w:p>
        </w:tc>
      </w:tr>
      <w:tr w:rsidR="00D826A0" w:rsidRPr="00D826A0" w14:paraId="254AE58D" w14:textId="77777777" w:rsidTr="00D826A0">
        <w:trPr>
          <w:trHeight w:val="315"/>
        </w:trPr>
        <w:tc>
          <w:tcPr>
            <w:tcW w:w="93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028F93" w14:textId="77777777" w:rsidR="00D826A0" w:rsidRPr="00D826A0" w:rsidRDefault="00D826A0" w:rsidP="00D826A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QUADRO ECONOMICO    -   LAVORI</w:t>
            </w:r>
          </w:p>
        </w:tc>
      </w:tr>
      <w:tr w:rsidR="00D826A0" w:rsidRPr="00D826A0" w14:paraId="576A2FA6" w14:textId="77777777" w:rsidTr="00D826A0">
        <w:trPr>
          <w:trHeight w:val="67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hideMark/>
          </w:tcPr>
          <w:p w14:paraId="45552252" w14:textId="77777777" w:rsidR="00D826A0" w:rsidRPr="00D826A0" w:rsidRDefault="00D826A0" w:rsidP="00D826A0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A) SOMME a BASE D'APPALTO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hideMark/>
          </w:tcPr>
          <w:p w14:paraId="6E12844B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COSTO ATTIVITA'</w:t>
            </w:r>
          </w:p>
        </w:tc>
      </w:tr>
      <w:tr w:rsidR="00D826A0" w:rsidRPr="00D826A0" w14:paraId="46C9EFDF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B2DDA1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A.1) LAVORI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BED39AA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€                   1.900,00 </w:t>
            </w:r>
          </w:p>
        </w:tc>
      </w:tr>
      <w:tr w:rsidR="00D826A0" w:rsidRPr="00D826A0" w14:paraId="10928BAE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C0411EE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A.2) oneri sicurezza non soggetti a ribasso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330C215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€                        76,00 </w:t>
            </w:r>
          </w:p>
        </w:tc>
      </w:tr>
      <w:tr w:rsidR="00D826A0" w:rsidRPr="00D826A0" w14:paraId="77477C37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10542D6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A.3) oneri per la manodopera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E20787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€                      950,00 </w:t>
            </w:r>
          </w:p>
        </w:tc>
      </w:tr>
      <w:tr w:rsidR="00D826A0" w:rsidRPr="00D826A0" w14:paraId="5CE28A3D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noWrap/>
            <w:hideMark/>
          </w:tcPr>
          <w:p w14:paraId="0C753056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Totale lavori + oneri sicurezza + oneri manodopera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hideMark/>
          </w:tcPr>
          <w:p w14:paraId="06CC0B84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€                   1.976,00 </w:t>
            </w:r>
          </w:p>
        </w:tc>
      </w:tr>
      <w:tr w:rsidR="00D826A0" w:rsidRPr="00D826A0" w14:paraId="5ECFAA88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hideMark/>
          </w:tcPr>
          <w:p w14:paraId="79DE2458" w14:textId="77777777" w:rsidR="00D826A0" w:rsidRPr="00D826A0" w:rsidRDefault="00D826A0" w:rsidP="00D826A0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B) SOMME a DISPOSIZIONE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hideMark/>
          </w:tcPr>
          <w:p w14:paraId="5A252A2B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D826A0" w:rsidRPr="00D826A0" w14:paraId="76AABD93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FCE075C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B.1 Imprevisti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FD3A19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€                      197,60 </w:t>
            </w:r>
          </w:p>
        </w:tc>
      </w:tr>
      <w:tr w:rsidR="00D826A0" w:rsidRPr="00D826A0" w14:paraId="22CBD492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37B135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695FB05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D826A0" w:rsidRPr="00D826A0" w14:paraId="07C93720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A6B225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B.2 Spese tecniche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0CE566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€                      197,60 </w:t>
            </w:r>
          </w:p>
        </w:tc>
      </w:tr>
      <w:tr w:rsidR="00D826A0" w:rsidRPr="00D826A0" w14:paraId="5525F777" w14:textId="77777777" w:rsidTr="00D826A0">
        <w:trPr>
          <w:trHeight w:val="390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548706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Direzione lavori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CCE2CF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€                      197,60 </w:t>
            </w:r>
          </w:p>
        </w:tc>
      </w:tr>
      <w:tr w:rsidR="00D826A0" w:rsidRPr="00D826A0" w14:paraId="2076548A" w14:textId="77777777" w:rsidTr="00D826A0">
        <w:trPr>
          <w:trHeight w:val="390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C936906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30C806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D826A0" w:rsidRPr="00D826A0" w14:paraId="185EB70E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695FB1C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B.3 Spese generali                               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2CF5E39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€                        39,52 </w:t>
            </w:r>
          </w:p>
        </w:tc>
      </w:tr>
      <w:tr w:rsidR="00D826A0" w:rsidRPr="00D826A0" w14:paraId="02FFD2AC" w14:textId="77777777" w:rsidTr="00D826A0">
        <w:trPr>
          <w:trHeight w:val="34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4A161CA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Fondo per funzioni tecniche interne (art. 113 del </w:t>
            </w:r>
            <w:proofErr w:type="spellStart"/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D.Lgs</w:t>
            </w:r>
            <w:proofErr w:type="spellEnd"/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50/2016): RUP (</w:t>
            </w:r>
            <w:proofErr w:type="spellStart"/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max</w:t>
            </w:r>
            <w:proofErr w:type="spellEnd"/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2 %)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3143B9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€                        39,52 </w:t>
            </w:r>
          </w:p>
        </w:tc>
      </w:tr>
      <w:tr w:rsidR="00D826A0" w:rsidRPr="00D826A0" w14:paraId="46E88593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B41C862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5B11E6A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D826A0" w:rsidRPr="00D826A0" w14:paraId="0070A17B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15933AA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B.4 IVA/oneri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1FE3BD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€                      487,83 </w:t>
            </w:r>
          </w:p>
        </w:tc>
      </w:tr>
      <w:tr w:rsidR="00D826A0" w:rsidRPr="00D826A0" w14:paraId="4190032A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EF9AA9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IVA su lavori (22%)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0D4154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€                      418,00 </w:t>
            </w:r>
          </w:p>
        </w:tc>
      </w:tr>
      <w:tr w:rsidR="00D826A0" w:rsidRPr="00D826A0" w14:paraId="2DE2FACD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D63F51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IVA su oneri sicurezza (22%)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47F731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€                        16,72 </w:t>
            </w:r>
          </w:p>
        </w:tc>
      </w:tr>
      <w:tr w:rsidR="00D826A0" w:rsidRPr="00D826A0" w14:paraId="2EFF3147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BC68CE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contributo previdenziale (4%)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0D9AFA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€                         7,90 </w:t>
            </w:r>
          </w:p>
        </w:tc>
      </w:tr>
      <w:tr w:rsidR="00D826A0" w:rsidRPr="00D826A0" w14:paraId="0D5FE1DD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123D13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IVA su spese tecniche (aliquota 22%)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9BDB1EE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€                        45,21 </w:t>
            </w:r>
          </w:p>
        </w:tc>
      </w:tr>
      <w:tr w:rsidR="00D826A0" w:rsidRPr="00D826A0" w14:paraId="6BE8B6EA" w14:textId="77777777" w:rsidTr="00D826A0">
        <w:trPr>
          <w:trHeight w:val="315"/>
        </w:trPr>
        <w:tc>
          <w:tcPr>
            <w:tcW w:w="7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32688C11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Totale Somme a disposizione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6FD2252A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€                      922,55 </w:t>
            </w:r>
          </w:p>
        </w:tc>
      </w:tr>
      <w:tr w:rsidR="00D826A0" w:rsidRPr="00D826A0" w14:paraId="1C7134AA" w14:textId="77777777" w:rsidTr="00D826A0">
        <w:trPr>
          <w:trHeight w:val="360"/>
        </w:trPr>
        <w:tc>
          <w:tcPr>
            <w:tcW w:w="7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59BE162F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it-IT"/>
              </w:rPr>
              <w:t>TOTALE (A+B)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14:paraId="6C65E78E" w14:textId="77777777" w:rsidR="00D826A0" w:rsidRPr="00D826A0" w:rsidRDefault="00D826A0" w:rsidP="00D826A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D826A0"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€               2.898,55 </w:t>
            </w:r>
          </w:p>
        </w:tc>
      </w:tr>
    </w:tbl>
    <w:p w14:paraId="1CD7D42B" w14:textId="280AA0BD" w:rsidR="00ED25AF" w:rsidRPr="00D637B3" w:rsidRDefault="00ED25AF" w:rsidP="008A40AB">
      <w:pPr>
        <w:ind w:firstLine="142"/>
        <w:rPr>
          <w:rFonts w:cs="Times New Roman"/>
          <w:noProof/>
          <w:sz w:val="20"/>
          <w:lang w:eastAsia="it-IT"/>
        </w:rPr>
      </w:pPr>
    </w:p>
    <w:p w14:paraId="3AC53905" w14:textId="0C28D67B" w:rsidR="00ED25AF" w:rsidRPr="00D637B3" w:rsidRDefault="00ED25AF" w:rsidP="008A40AB">
      <w:pPr>
        <w:ind w:firstLine="142"/>
        <w:rPr>
          <w:rFonts w:cs="Times New Roman"/>
          <w:noProof/>
          <w:sz w:val="20"/>
          <w:lang w:eastAsia="it-IT"/>
        </w:rPr>
      </w:pPr>
    </w:p>
    <w:p w14:paraId="15B8D18D" w14:textId="496154E7" w:rsidR="00ED25AF" w:rsidRPr="00D637B3" w:rsidRDefault="00ED25AF" w:rsidP="008A40AB">
      <w:pPr>
        <w:ind w:firstLine="142"/>
        <w:rPr>
          <w:rFonts w:cs="Times New Roman"/>
          <w:noProof/>
          <w:sz w:val="20"/>
          <w:lang w:eastAsia="it-IT"/>
        </w:rPr>
      </w:pPr>
    </w:p>
    <w:p w14:paraId="1F636439" w14:textId="563AF587" w:rsidR="007F269F" w:rsidRPr="0038351F" w:rsidRDefault="007F269F">
      <w:pPr>
        <w:rPr>
          <w:rFonts w:cs="Times New Roman"/>
          <w:sz w:val="20"/>
          <w:szCs w:val="20"/>
        </w:rPr>
      </w:pPr>
    </w:p>
    <w:p w14:paraId="44EB30F0" w14:textId="77777777" w:rsidR="00DA63F8" w:rsidRPr="0038351F" w:rsidRDefault="00DA63F8" w:rsidP="00DA63F8">
      <w:pPr>
        <w:tabs>
          <w:tab w:val="left" w:pos="5361"/>
        </w:tabs>
        <w:rPr>
          <w:rFonts w:cs="Times New Roman"/>
          <w:sz w:val="20"/>
          <w:szCs w:val="20"/>
        </w:rPr>
      </w:pPr>
    </w:p>
    <w:sectPr w:rsidR="00DA63F8" w:rsidRPr="0038351F" w:rsidSect="00A84A50">
      <w:headerReference w:type="default" r:id="rId10"/>
      <w:footerReference w:type="default" r:id="rId11"/>
      <w:pgSz w:w="11906" w:h="16838"/>
      <w:pgMar w:top="1417" w:right="1134" w:bottom="1134" w:left="1134" w:header="708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6B97A" w14:textId="77777777" w:rsidR="00BC4C1D" w:rsidRDefault="00BC4C1D" w:rsidP="00300F59">
      <w:pPr>
        <w:spacing w:after="0" w:line="240" w:lineRule="auto"/>
      </w:pPr>
      <w:r>
        <w:separator/>
      </w:r>
    </w:p>
  </w:endnote>
  <w:endnote w:type="continuationSeparator" w:id="0">
    <w:p w14:paraId="7276DE4B" w14:textId="77777777" w:rsidR="00BC4C1D" w:rsidRDefault="00BC4C1D" w:rsidP="00300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B9507" w14:textId="77777777" w:rsidR="00D637B3" w:rsidRPr="00495F62" w:rsidRDefault="00D637B3" w:rsidP="00495F62">
    <w:pPr>
      <w:pStyle w:val="Pidipagina"/>
      <w:jc w:val="center"/>
      <w:rPr>
        <w:rFonts w:ascii="Times New Roman" w:hAnsi="Times New Roman" w:cs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D910E" w14:textId="77777777" w:rsidR="00BC4C1D" w:rsidRDefault="00BC4C1D" w:rsidP="00300F59">
      <w:pPr>
        <w:spacing w:after="0" w:line="240" w:lineRule="auto"/>
      </w:pPr>
      <w:r>
        <w:separator/>
      </w:r>
    </w:p>
  </w:footnote>
  <w:footnote w:type="continuationSeparator" w:id="0">
    <w:p w14:paraId="08310933" w14:textId="77777777" w:rsidR="00BC4C1D" w:rsidRDefault="00BC4C1D" w:rsidP="00300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61A29" w14:textId="202AE7B1" w:rsidR="00D637B3" w:rsidRDefault="00D637B3" w:rsidP="006A694F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82954"/>
    <w:multiLevelType w:val="hybridMultilevel"/>
    <w:tmpl w:val="5BEA7A5C"/>
    <w:lvl w:ilvl="0" w:tplc="815410DE">
      <w:start w:val="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259FF"/>
    <w:multiLevelType w:val="hybridMultilevel"/>
    <w:tmpl w:val="60B09D36"/>
    <w:lvl w:ilvl="0" w:tplc="D344806E">
      <w:start w:val="1"/>
      <w:numFmt w:val="bullet"/>
      <w:lvlText w:val=""/>
      <w:lvlJc w:val="left"/>
      <w:pPr>
        <w:ind w:left="40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" w15:restartNumberingAfterBreak="0">
    <w:nsid w:val="2E291543"/>
    <w:multiLevelType w:val="hybridMultilevel"/>
    <w:tmpl w:val="641ABC5A"/>
    <w:lvl w:ilvl="0" w:tplc="44B6767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51443D"/>
    <w:multiLevelType w:val="hybridMultilevel"/>
    <w:tmpl w:val="C228FA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8255B"/>
    <w:multiLevelType w:val="hybridMultilevel"/>
    <w:tmpl w:val="025E3FDA"/>
    <w:lvl w:ilvl="0" w:tplc="FDD2E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57CB7"/>
    <w:multiLevelType w:val="hybridMultilevel"/>
    <w:tmpl w:val="154EBA9E"/>
    <w:lvl w:ilvl="0" w:tplc="F1F49D94">
      <w:start w:val="1"/>
      <w:numFmt w:val="upperLetter"/>
      <w:lvlText w:val="%1)"/>
      <w:lvlJc w:val="left"/>
      <w:pPr>
        <w:ind w:left="720" w:hanging="360"/>
      </w:pPr>
      <w:rPr>
        <w:rFonts w:hint="default"/>
        <w:i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396"/>
    <w:rsid w:val="00002925"/>
    <w:rsid w:val="00003037"/>
    <w:rsid w:val="00005AE4"/>
    <w:rsid w:val="000075EF"/>
    <w:rsid w:val="00007ADA"/>
    <w:rsid w:val="00010F9D"/>
    <w:rsid w:val="00013804"/>
    <w:rsid w:val="0003316D"/>
    <w:rsid w:val="000434DE"/>
    <w:rsid w:val="00047E8A"/>
    <w:rsid w:val="00050DBC"/>
    <w:rsid w:val="00054B99"/>
    <w:rsid w:val="0005796D"/>
    <w:rsid w:val="00084573"/>
    <w:rsid w:val="00085E46"/>
    <w:rsid w:val="0008613A"/>
    <w:rsid w:val="000A5B48"/>
    <w:rsid w:val="000B6837"/>
    <w:rsid w:val="000C3A25"/>
    <w:rsid w:val="000E2C18"/>
    <w:rsid w:val="000E2F0D"/>
    <w:rsid w:val="000F0291"/>
    <w:rsid w:val="00104608"/>
    <w:rsid w:val="00106652"/>
    <w:rsid w:val="001073DF"/>
    <w:rsid w:val="00107B71"/>
    <w:rsid w:val="00110777"/>
    <w:rsid w:val="00121C87"/>
    <w:rsid w:val="00147395"/>
    <w:rsid w:val="001475CE"/>
    <w:rsid w:val="001562DD"/>
    <w:rsid w:val="00162729"/>
    <w:rsid w:val="00162A82"/>
    <w:rsid w:val="00163562"/>
    <w:rsid w:val="00164B1A"/>
    <w:rsid w:val="00164E76"/>
    <w:rsid w:val="00165BC8"/>
    <w:rsid w:val="001668CA"/>
    <w:rsid w:val="00173254"/>
    <w:rsid w:val="001A01A0"/>
    <w:rsid w:val="001A5EB4"/>
    <w:rsid w:val="001B4DB9"/>
    <w:rsid w:val="001D14C3"/>
    <w:rsid w:val="001D1F0E"/>
    <w:rsid w:val="001E2B96"/>
    <w:rsid w:val="001E2CD3"/>
    <w:rsid w:val="001E4673"/>
    <w:rsid w:val="001E6279"/>
    <w:rsid w:val="001F7358"/>
    <w:rsid w:val="0020318A"/>
    <w:rsid w:val="00207823"/>
    <w:rsid w:val="00230523"/>
    <w:rsid w:val="002334E9"/>
    <w:rsid w:val="0023668F"/>
    <w:rsid w:val="00253E75"/>
    <w:rsid w:val="0025443D"/>
    <w:rsid w:val="0026184B"/>
    <w:rsid w:val="00272623"/>
    <w:rsid w:val="002777D7"/>
    <w:rsid w:val="002848AD"/>
    <w:rsid w:val="002916A0"/>
    <w:rsid w:val="002A1016"/>
    <w:rsid w:val="002A22EC"/>
    <w:rsid w:val="002A398B"/>
    <w:rsid w:val="002B2805"/>
    <w:rsid w:val="002C6088"/>
    <w:rsid w:val="002D50EC"/>
    <w:rsid w:val="002E268B"/>
    <w:rsid w:val="00300F59"/>
    <w:rsid w:val="00302847"/>
    <w:rsid w:val="0030301A"/>
    <w:rsid w:val="00306729"/>
    <w:rsid w:val="00314516"/>
    <w:rsid w:val="00321752"/>
    <w:rsid w:val="003250E0"/>
    <w:rsid w:val="0033151E"/>
    <w:rsid w:val="0033510D"/>
    <w:rsid w:val="00335E15"/>
    <w:rsid w:val="00337715"/>
    <w:rsid w:val="00354727"/>
    <w:rsid w:val="003605F1"/>
    <w:rsid w:val="003627F5"/>
    <w:rsid w:val="00370FB6"/>
    <w:rsid w:val="00380D22"/>
    <w:rsid w:val="003818F7"/>
    <w:rsid w:val="0038351F"/>
    <w:rsid w:val="00390D55"/>
    <w:rsid w:val="00393CFC"/>
    <w:rsid w:val="00396374"/>
    <w:rsid w:val="003A19BA"/>
    <w:rsid w:val="003A19ED"/>
    <w:rsid w:val="003A334E"/>
    <w:rsid w:val="003B5038"/>
    <w:rsid w:val="003C04B3"/>
    <w:rsid w:val="003C209B"/>
    <w:rsid w:val="003E0783"/>
    <w:rsid w:val="003E1EAC"/>
    <w:rsid w:val="003E345E"/>
    <w:rsid w:val="003E3FEE"/>
    <w:rsid w:val="003E4870"/>
    <w:rsid w:val="003F62A6"/>
    <w:rsid w:val="00401CA2"/>
    <w:rsid w:val="00406BC9"/>
    <w:rsid w:val="004115D0"/>
    <w:rsid w:val="00413100"/>
    <w:rsid w:val="00425A11"/>
    <w:rsid w:val="00432CE4"/>
    <w:rsid w:val="004417EA"/>
    <w:rsid w:val="00446D9E"/>
    <w:rsid w:val="0045721C"/>
    <w:rsid w:val="00461D92"/>
    <w:rsid w:val="004621AA"/>
    <w:rsid w:val="004662B0"/>
    <w:rsid w:val="00472675"/>
    <w:rsid w:val="00473028"/>
    <w:rsid w:val="00475ECD"/>
    <w:rsid w:val="00476719"/>
    <w:rsid w:val="00480D11"/>
    <w:rsid w:val="00495F62"/>
    <w:rsid w:val="004B30D3"/>
    <w:rsid w:val="004B7F80"/>
    <w:rsid w:val="004C3993"/>
    <w:rsid w:val="004D195A"/>
    <w:rsid w:val="004D2264"/>
    <w:rsid w:val="004D51AA"/>
    <w:rsid w:val="004E3420"/>
    <w:rsid w:val="004F1FEE"/>
    <w:rsid w:val="004F2C6E"/>
    <w:rsid w:val="00500582"/>
    <w:rsid w:val="00512F50"/>
    <w:rsid w:val="0051369E"/>
    <w:rsid w:val="005143C0"/>
    <w:rsid w:val="00520CDF"/>
    <w:rsid w:val="00532A8C"/>
    <w:rsid w:val="00536C78"/>
    <w:rsid w:val="005418F2"/>
    <w:rsid w:val="00551696"/>
    <w:rsid w:val="00556510"/>
    <w:rsid w:val="0055720A"/>
    <w:rsid w:val="0055751C"/>
    <w:rsid w:val="005734E7"/>
    <w:rsid w:val="005765ED"/>
    <w:rsid w:val="00583974"/>
    <w:rsid w:val="005843CF"/>
    <w:rsid w:val="005843FD"/>
    <w:rsid w:val="0058787C"/>
    <w:rsid w:val="00597A2D"/>
    <w:rsid w:val="005B50A8"/>
    <w:rsid w:val="005C0254"/>
    <w:rsid w:val="005C1E06"/>
    <w:rsid w:val="005C3383"/>
    <w:rsid w:val="005C6D80"/>
    <w:rsid w:val="005C7B08"/>
    <w:rsid w:val="005D2934"/>
    <w:rsid w:val="005D4B44"/>
    <w:rsid w:val="005E1619"/>
    <w:rsid w:val="005E3812"/>
    <w:rsid w:val="005E7BA4"/>
    <w:rsid w:val="006004CB"/>
    <w:rsid w:val="00604AA2"/>
    <w:rsid w:val="006123AA"/>
    <w:rsid w:val="00614AAB"/>
    <w:rsid w:val="006157D3"/>
    <w:rsid w:val="006158E5"/>
    <w:rsid w:val="00616793"/>
    <w:rsid w:val="00616A10"/>
    <w:rsid w:val="00617412"/>
    <w:rsid w:val="0062379F"/>
    <w:rsid w:val="00625388"/>
    <w:rsid w:val="00630668"/>
    <w:rsid w:val="0063293A"/>
    <w:rsid w:val="00640A83"/>
    <w:rsid w:val="00640D63"/>
    <w:rsid w:val="00645978"/>
    <w:rsid w:val="00650520"/>
    <w:rsid w:val="006556FC"/>
    <w:rsid w:val="006576B2"/>
    <w:rsid w:val="00665358"/>
    <w:rsid w:val="00685CDD"/>
    <w:rsid w:val="00686C39"/>
    <w:rsid w:val="00691341"/>
    <w:rsid w:val="0069534B"/>
    <w:rsid w:val="006A694F"/>
    <w:rsid w:val="006B2362"/>
    <w:rsid w:val="006B2B46"/>
    <w:rsid w:val="006B30CA"/>
    <w:rsid w:val="006D61C4"/>
    <w:rsid w:val="006E2C18"/>
    <w:rsid w:val="006F20CC"/>
    <w:rsid w:val="006F4FE2"/>
    <w:rsid w:val="00706ED2"/>
    <w:rsid w:val="00707D4B"/>
    <w:rsid w:val="00715BB7"/>
    <w:rsid w:val="00715ED2"/>
    <w:rsid w:val="00724011"/>
    <w:rsid w:val="00733489"/>
    <w:rsid w:val="00733A09"/>
    <w:rsid w:val="00734FED"/>
    <w:rsid w:val="00740B43"/>
    <w:rsid w:val="0074651C"/>
    <w:rsid w:val="007517CD"/>
    <w:rsid w:val="007520D9"/>
    <w:rsid w:val="00757DF7"/>
    <w:rsid w:val="00767976"/>
    <w:rsid w:val="00767A3C"/>
    <w:rsid w:val="00784518"/>
    <w:rsid w:val="00787ACA"/>
    <w:rsid w:val="007A0F86"/>
    <w:rsid w:val="007B373D"/>
    <w:rsid w:val="007B48AC"/>
    <w:rsid w:val="007B4E13"/>
    <w:rsid w:val="007B7D7B"/>
    <w:rsid w:val="007C1EBB"/>
    <w:rsid w:val="007D3428"/>
    <w:rsid w:val="007D3541"/>
    <w:rsid w:val="007D4EE2"/>
    <w:rsid w:val="007D55C6"/>
    <w:rsid w:val="007D7365"/>
    <w:rsid w:val="007E1D00"/>
    <w:rsid w:val="007E3AB1"/>
    <w:rsid w:val="007E4C3D"/>
    <w:rsid w:val="007E6657"/>
    <w:rsid w:val="007F269F"/>
    <w:rsid w:val="008104C9"/>
    <w:rsid w:val="008127C5"/>
    <w:rsid w:val="008144BD"/>
    <w:rsid w:val="008159A0"/>
    <w:rsid w:val="00825077"/>
    <w:rsid w:val="00832141"/>
    <w:rsid w:val="00842178"/>
    <w:rsid w:val="00852C94"/>
    <w:rsid w:val="00860905"/>
    <w:rsid w:val="00861C8A"/>
    <w:rsid w:val="00862206"/>
    <w:rsid w:val="00863DE4"/>
    <w:rsid w:val="00865E5A"/>
    <w:rsid w:val="00871256"/>
    <w:rsid w:val="008713CD"/>
    <w:rsid w:val="00873003"/>
    <w:rsid w:val="008748C6"/>
    <w:rsid w:val="00875324"/>
    <w:rsid w:val="008778A5"/>
    <w:rsid w:val="00880217"/>
    <w:rsid w:val="00891580"/>
    <w:rsid w:val="00892FFD"/>
    <w:rsid w:val="008959A7"/>
    <w:rsid w:val="008A40AB"/>
    <w:rsid w:val="008A72C4"/>
    <w:rsid w:val="008B4386"/>
    <w:rsid w:val="008B5C58"/>
    <w:rsid w:val="008B69DC"/>
    <w:rsid w:val="008C44DF"/>
    <w:rsid w:val="008F0EEB"/>
    <w:rsid w:val="008F0F94"/>
    <w:rsid w:val="008F3CD1"/>
    <w:rsid w:val="008F4B9A"/>
    <w:rsid w:val="00905BB5"/>
    <w:rsid w:val="00906B4D"/>
    <w:rsid w:val="00907D41"/>
    <w:rsid w:val="0091110F"/>
    <w:rsid w:val="00921B54"/>
    <w:rsid w:val="009237F7"/>
    <w:rsid w:val="00925DC9"/>
    <w:rsid w:val="009312C4"/>
    <w:rsid w:val="009329D7"/>
    <w:rsid w:val="00932B05"/>
    <w:rsid w:val="0093532D"/>
    <w:rsid w:val="009413EC"/>
    <w:rsid w:val="00943E45"/>
    <w:rsid w:val="00953539"/>
    <w:rsid w:val="0096202B"/>
    <w:rsid w:val="0096215E"/>
    <w:rsid w:val="00963683"/>
    <w:rsid w:val="00965F1D"/>
    <w:rsid w:val="009748E8"/>
    <w:rsid w:val="00983623"/>
    <w:rsid w:val="00990DCE"/>
    <w:rsid w:val="00990F76"/>
    <w:rsid w:val="00995B5A"/>
    <w:rsid w:val="009A0BFA"/>
    <w:rsid w:val="009B0251"/>
    <w:rsid w:val="009C13AF"/>
    <w:rsid w:val="009C71E4"/>
    <w:rsid w:val="009D5A09"/>
    <w:rsid w:val="009E2EB5"/>
    <w:rsid w:val="009E54AF"/>
    <w:rsid w:val="009E5925"/>
    <w:rsid w:val="009F15F5"/>
    <w:rsid w:val="009F1FAC"/>
    <w:rsid w:val="00A02C02"/>
    <w:rsid w:val="00A07770"/>
    <w:rsid w:val="00A12BAC"/>
    <w:rsid w:val="00A16DEC"/>
    <w:rsid w:val="00A315F6"/>
    <w:rsid w:val="00A65581"/>
    <w:rsid w:val="00A674AB"/>
    <w:rsid w:val="00A679D9"/>
    <w:rsid w:val="00A70C76"/>
    <w:rsid w:val="00A72316"/>
    <w:rsid w:val="00A727BB"/>
    <w:rsid w:val="00A763D4"/>
    <w:rsid w:val="00A83E0E"/>
    <w:rsid w:val="00A84A50"/>
    <w:rsid w:val="00A90653"/>
    <w:rsid w:val="00A91750"/>
    <w:rsid w:val="00A94396"/>
    <w:rsid w:val="00A945D7"/>
    <w:rsid w:val="00AA109C"/>
    <w:rsid w:val="00AA1725"/>
    <w:rsid w:val="00AA6407"/>
    <w:rsid w:val="00AB1729"/>
    <w:rsid w:val="00AB49E0"/>
    <w:rsid w:val="00AC0B3B"/>
    <w:rsid w:val="00AC32E9"/>
    <w:rsid w:val="00AD75C9"/>
    <w:rsid w:val="00AE121C"/>
    <w:rsid w:val="00AE6544"/>
    <w:rsid w:val="00AF7DE0"/>
    <w:rsid w:val="00B00602"/>
    <w:rsid w:val="00B00B57"/>
    <w:rsid w:val="00B032C3"/>
    <w:rsid w:val="00B038CA"/>
    <w:rsid w:val="00B0391C"/>
    <w:rsid w:val="00B16C45"/>
    <w:rsid w:val="00B203D2"/>
    <w:rsid w:val="00B2464E"/>
    <w:rsid w:val="00B26036"/>
    <w:rsid w:val="00B337B9"/>
    <w:rsid w:val="00B35AC7"/>
    <w:rsid w:val="00B433F0"/>
    <w:rsid w:val="00B45E64"/>
    <w:rsid w:val="00B5675D"/>
    <w:rsid w:val="00B577C2"/>
    <w:rsid w:val="00B62C3A"/>
    <w:rsid w:val="00B641E5"/>
    <w:rsid w:val="00B81608"/>
    <w:rsid w:val="00B82763"/>
    <w:rsid w:val="00B92955"/>
    <w:rsid w:val="00B94338"/>
    <w:rsid w:val="00B9665C"/>
    <w:rsid w:val="00BA12B3"/>
    <w:rsid w:val="00BB0CA1"/>
    <w:rsid w:val="00BB4BF9"/>
    <w:rsid w:val="00BB6776"/>
    <w:rsid w:val="00BB7325"/>
    <w:rsid w:val="00BC17BE"/>
    <w:rsid w:val="00BC4C1D"/>
    <w:rsid w:val="00BD1B8E"/>
    <w:rsid w:val="00BD3CC5"/>
    <w:rsid w:val="00BE2DC7"/>
    <w:rsid w:val="00BE5C0F"/>
    <w:rsid w:val="00BF1EF3"/>
    <w:rsid w:val="00BF57D2"/>
    <w:rsid w:val="00BF7784"/>
    <w:rsid w:val="00C016FD"/>
    <w:rsid w:val="00C0398D"/>
    <w:rsid w:val="00C07642"/>
    <w:rsid w:val="00C156AB"/>
    <w:rsid w:val="00C1645A"/>
    <w:rsid w:val="00C2431F"/>
    <w:rsid w:val="00C27C40"/>
    <w:rsid w:val="00C31ABB"/>
    <w:rsid w:val="00C32D0E"/>
    <w:rsid w:val="00C356F7"/>
    <w:rsid w:val="00C513A2"/>
    <w:rsid w:val="00C53BFC"/>
    <w:rsid w:val="00C62388"/>
    <w:rsid w:val="00C73EAA"/>
    <w:rsid w:val="00C940D9"/>
    <w:rsid w:val="00CA2EE2"/>
    <w:rsid w:val="00CA3105"/>
    <w:rsid w:val="00CC4747"/>
    <w:rsid w:val="00CC4D49"/>
    <w:rsid w:val="00CC62F7"/>
    <w:rsid w:val="00CE2D8D"/>
    <w:rsid w:val="00CE55B3"/>
    <w:rsid w:val="00CF475E"/>
    <w:rsid w:val="00CF56DF"/>
    <w:rsid w:val="00D06FFB"/>
    <w:rsid w:val="00D10107"/>
    <w:rsid w:val="00D14512"/>
    <w:rsid w:val="00D24C6D"/>
    <w:rsid w:val="00D24FA2"/>
    <w:rsid w:val="00D26B9B"/>
    <w:rsid w:val="00D33D6F"/>
    <w:rsid w:val="00D34A91"/>
    <w:rsid w:val="00D3656E"/>
    <w:rsid w:val="00D36E45"/>
    <w:rsid w:val="00D42EFB"/>
    <w:rsid w:val="00D5672E"/>
    <w:rsid w:val="00D56FFB"/>
    <w:rsid w:val="00D637B3"/>
    <w:rsid w:val="00D72D6A"/>
    <w:rsid w:val="00D736FD"/>
    <w:rsid w:val="00D7406D"/>
    <w:rsid w:val="00D826A0"/>
    <w:rsid w:val="00D84641"/>
    <w:rsid w:val="00D900EB"/>
    <w:rsid w:val="00D9570A"/>
    <w:rsid w:val="00D96258"/>
    <w:rsid w:val="00DA63F8"/>
    <w:rsid w:val="00DB4E06"/>
    <w:rsid w:val="00DB7D60"/>
    <w:rsid w:val="00DC3382"/>
    <w:rsid w:val="00DC5E40"/>
    <w:rsid w:val="00DC714D"/>
    <w:rsid w:val="00DD0169"/>
    <w:rsid w:val="00DD0C5C"/>
    <w:rsid w:val="00DD180E"/>
    <w:rsid w:val="00DF5AA5"/>
    <w:rsid w:val="00E01C52"/>
    <w:rsid w:val="00E02069"/>
    <w:rsid w:val="00E0653C"/>
    <w:rsid w:val="00E1164B"/>
    <w:rsid w:val="00E15F9D"/>
    <w:rsid w:val="00E16732"/>
    <w:rsid w:val="00E27D71"/>
    <w:rsid w:val="00E36FF6"/>
    <w:rsid w:val="00E437E1"/>
    <w:rsid w:val="00E46E60"/>
    <w:rsid w:val="00E560B1"/>
    <w:rsid w:val="00E65265"/>
    <w:rsid w:val="00E70783"/>
    <w:rsid w:val="00E80BAB"/>
    <w:rsid w:val="00E872B0"/>
    <w:rsid w:val="00E95C12"/>
    <w:rsid w:val="00E977AA"/>
    <w:rsid w:val="00EA0AE6"/>
    <w:rsid w:val="00EA70FC"/>
    <w:rsid w:val="00EB44F8"/>
    <w:rsid w:val="00EC29E0"/>
    <w:rsid w:val="00EC2BDE"/>
    <w:rsid w:val="00ED25AF"/>
    <w:rsid w:val="00ED46C0"/>
    <w:rsid w:val="00ED5DFE"/>
    <w:rsid w:val="00EF04AB"/>
    <w:rsid w:val="00EF46EC"/>
    <w:rsid w:val="00EF60FE"/>
    <w:rsid w:val="00F040F1"/>
    <w:rsid w:val="00F2085D"/>
    <w:rsid w:val="00F24CCD"/>
    <w:rsid w:val="00F255AD"/>
    <w:rsid w:val="00F30F32"/>
    <w:rsid w:val="00F375A7"/>
    <w:rsid w:val="00F43490"/>
    <w:rsid w:val="00F51C11"/>
    <w:rsid w:val="00F551E4"/>
    <w:rsid w:val="00F6283E"/>
    <w:rsid w:val="00F647D1"/>
    <w:rsid w:val="00F70D35"/>
    <w:rsid w:val="00F72D48"/>
    <w:rsid w:val="00F7493E"/>
    <w:rsid w:val="00F76F25"/>
    <w:rsid w:val="00F770B2"/>
    <w:rsid w:val="00F836F6"/>
    <w:rsid w:val="00F908F3"/>
    <w:rsid w:val="00FA6207"/>
    <w:rsid w:val="00FB23B7"/>
    <w:rsid w:val="00FB4C1A"/>
    <w:rsid w:val="00FB541E"/>
    <w:rsid w:val="00FB69C9"/>
    <w:rsid w:val="00FC13D1"/>
    <w:rsid w:val="00FC1A9C"/>
    <w:rsid w:val="00FC3C02"/>
    <w:rsid w:val="00FC47B6"/>
    <w:rsid w:val="00FC52C5"/>
    <w:rsid w:val="00FC62C8"/>
    <w:rsid w:val="00FD321A"/>
    <w:rsid w:val="00FD48FD"/>
    <w:rsid w:val="00FD558E"/>
    <w:rsid w:val="00FE5629"/>
    <w:rsid w:val="00FF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92B258"/>
  <w15:chartTrackingRefBased/>
  <w15:docId w15:val="{B5F32084-2166-4857-AA96-02366C43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E161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21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B683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00F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F59"/>
  </w:style>
  <w:style w:type="paragraph" w:styleId="Pidipagina">
    <w:name w:val="footer"/>
    <w:basedOn w:val="Normale"/>
    <w:link w:val="PidipaginaCarattere"/>
    <w:uiPriority w:val="99"/>
    <w:unhideWhenUsed/>
    <w:rsid w:val="00300F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F5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169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7493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7493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7493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493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493E"/>
    <w:rPr>
      <w:b/>
      <w:bCs/>
      <w:sz w:val="20"/>
      <w:szCs w:val="20"/>
    </w:rPr>
  </w:style>
  <w:style w:type="character" w:styleId="Numeropagina">
    <w:name w:val="page number"/>
    <w:basedOn w:val="Carpredefinitoparagrafo"/>
    <w:uiPriority w:val="99"/>
    <w:unhideWhenUsed/>
    <w:rsid w:val="009C71E4"/>
  </w:style>
  <w:style w:type="paragraph" w:styleId="Testonormale">
    <w:name w:val="Plain Text"/>
    <w:basedOn w:val="Normale"/>
    <w:link w:val="TestonormaleCarattere"/>
    <w:semiHidden/>
    <w:rsid w:val="00ED5D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ED5DFE"/>
    <w:rPr>
      <w:rFonts w:ascii="Courier New" w:eastAsia="Times New Roman" w:hAnsi="Courier New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06D32-171E-4EF9-8349-61EC89676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Mucciante Matteo</dc:creator>
  <cp:keywords/>
  <dc:description/>
  <cp:lastModifiedBy>muttia</cp:lastModifiedBy>
  <cp:revision>5</cp:revision>
  <cp:lastPrinted>2024-01-09T11:27:00Z</cp:lastPrinted>
  <dcterms:created xsi:type="dcterms:W3CDTF">2024-05-31T09:24:00Z</dcterms:created>
  <dcterms:modified xsi:type="dcterms:W3CDTF">2024-05-31T09:30:00Z</dcterms:modified>
</cp:coreProperties>
</file>